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黑体" w:hAnsi="黑体" w:eastAsia="黑体" w:cs="黑体"/>
          <w:bCs/>
          <w:sz w:val="32"/>
          <w:szCs w:val="32"/>
        </w:rPr>
      </w:pPr>
    </w:p>
    <w:p>
      <w:pPr>
        <w:spacing w:line="360" w:lineRule="auto"/>
        <w:rPr>
          <w:rFonts w:ascii="黑体" w:hAnsi="黑体" w:eastAsia="黑体" w:cs="黑体"/>
          <w:bCs/>
          <w:sz w:val="32"/>
          <w:szCs w:val="32"/>
        </w:rPr>
      </w:pPr>
    </w:p>
    <w:p>
      <w:pPr>
        <w:spacing w:line="360" w:lineRule="auto"/>
        <w:rPr>
          <w:rFonts w:ascii="黑体" w:hAnsi="黑体" w:eastAsia="黑体" w:cs="黑体"/>
          <w:bCs/>
          <w:sz w:val="32"/>
          <w:szCs w:val="32"/>
        </w:rPr>
      </w:pPr>
    </w:p>
    <w:p>
      <w:pPr>
        <w:spacing w:line="360" w:lineRule="auto"/>
        <w:rPr>
          <w:rFonts w:ascii="黑体" w:hAnsi="黑体" w:eastAsia="黑体" w:cs="黑体"/>
          <w:bCs/>
          <w:sz w:val="32"/>
          <w:szCs w:val="32"/>
        </w:rPr>
      </w:pPr>
    </w:p>
    <w:p>
      <w:pPr>
        <w:spacing w:line="360" w:lineRule="auto"/>
        <w:jc w:val="center"/>
        <w:rPr>
          <w:rFonts w:ascii="黑体" w:hAnsi="黑体" w:eastAsia="黑体" w:cs="黑体"/>
          <w:bCs/>
          <w:sz w:val="32"/>
          <w:szCs w:val="32"/>
        </w:rPr>
      </w:pPr>
      <w:r>
        <w:rPr>
          <w:rFonts w:hint="eastAsia" w:ascii="黑体" w:hAnsi="黑体" w:eastAsia="黑体" w:cs="黑体"/>
          <w:bCs/>
          <w:sz w:val="32"/>
          <w:szCs w:val="32"/>
          <w:lang w:eastAsia="zh-CN"/>
        </w:rPr>
        <w:t>贵州</w:t>
      </w:r>
      <w:r>
        <w:rPr>
          <w:rFonts w:hint="eastAsia" w:ascii="黑体" w:hAnsi="黑体" w:eastAsia="黑体" w:cs="黑体"/>
          <w:bCs/>
          <w:sz w:val="32"/>
          <w:szCs w:val="32"/>
        </w:rPr>
        <w:t>省招标投标协会服务平台操作手册</w:t>
      </w:r>
    </w:p>
    <w:p>
      <w:pPr>
        <w:spacing w:line="360" w:lineRule="auto"/>
        <w:jc w:val="center"/>
        <w:rPr>
          <w:rFonts w:ascii="黑体" w:hAnsi="黑体" w:eastAsia="黑体" w:cs="黑体"/>
          <w:bCs/>
          <w:sz w:val="32"/>
          <w:szCs w:val="32"/>
        </w:rPr>
      </w:pPr>
      <w:r>
        <w:rPr>
          <w:rFonts w:hint="eastAsia" w:ascii="黑体" w:hAnsi="黑体" w:eastAsia="黑体" w:cs="黑体"/>
          <w:bCs/>
          <w:sz w:val="32"/>
          <w:szCs w:val="32"/>
        </w:rPr>
        <w:t>（单位会员、从业单位）</w:t>
      </w: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
          <w:sz w:val="24"/>
          <w:szCs w:val="24"/>
        </w:rPr>
      </w:pP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安徽安讯信息科技有限公司</w:t>
      </w:r>
    </w:p>
    <w:p>
      <w:pPr>
        <w:spacing w:line="360" w:lineRule="auto"/>
        <w:jc w:val="center"/>
        <w:rPr>
          <w:rFonts w:ascii="宋体" w:hAnsi="宋体" w:eastAsia="宋体" w:cs="宋体"/>
          <w:bCs/>
          <w:sz w:val="24"/>
          <w:szCs w:val="24"/>
        </w:rPr>
      </w:pPr>
      <w:r>
        <w:rPr>
          <w:rFonts w:hint="eastAsia" w:ascii="宋体" w:hAnsi="宋体" w:eastAsia="宋体" w:cs="宋体"/>
          <w:bCs/>
          <w:sz w:val="24"/>
          <w:szCs w:val="24"/>
        </w:rPr>
        <w:t>2019年</w:t>
      </w:r>
      <w:r>
        <w:rPr>
          <w:rFonts w:ascii="宋体" w:hAnsi="宋体" w:eastAsia="宋体" w:cs="宋体"/>
          <w:bCs/>
          <w:sz w:val="24"/>
          <w:szCs w:val="24"/>
        </w:rPr>
        <w:t>6</w:t>
      </w:r>
      <w:r>
        <w:rPr>
          <w:rFonts w:hint="eastAsia" w:ascii="宋体" w:hAnsi="宋体" w:eastAsia="宋体" w:cs="宋体"/>
          <w:bCs/>
          <w:sz w:val="24"/>
          <w:szCs w:val="24"/>
        </w:rPr>
        <w:t>月</w:t>
      </w:r>
    </w:p>
    <w:p>
      <w:pPr>
        <w:spacing w:line="360" w:lineRule="auto"/>
        <w:jc w:val="center"/>
        <w:rPr>
          <w:rFonts w:ascii="宋体" w:hAnsi="宋体" w:eastAsia="宋体" w:cs="宋体"/>
          <w:sz w:val="24"/>
          <w:szCs w:val="24"/>
        </w:rPr>
      </w:pPr>
    </w:p>
    <w:p>
      <w:pPr>
        <w:pStyle w:val="20"/>
        <w:spacing w:line="360" w:lineRule="auto"/>
        <w:jc w:val="center"/>
        <w:rPr>
          <w:rFonts w:ascii="宋体" w:hAnsi="宋体" w:cs="宋体"/>
          <w:b w:val="0"/>
          <w:bCs w:val="0"/>
          <w:color w:val="000000" w:themeColor="text1"/>
          <w:sz w:val="24"/>
          <w:szCs w:val="24"/>
          <w:lang w:val="zh-CN"/>
          <w14:textFill>
            <w14:solidFill>
              <w14:schemeClr w14:val="tx1"/>
            </w14:solidFill>
          </w14:textFill>
        </w:rPr>
      </w:pPr>
    </w:p>
    <w:p>
      <w:pPr>
        <w:pStyle w:val="20"/>
        <w:spacing w:line="360" w:lineRule="auto"/>
        <w:jc w:val="center"/>
        <w:rPr>
          <w:rFonts w:ascii="宋体" w:hAnsi="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val="zh-CN"/>
          <w14:textFill>
            <w14:solidFill>
              <w14:schemeClr w14:val="tx1"/>
            </w14:solidFill>
          </w14:textFill>
        </w:rPr>
        <w:t>目</w:t>
      </w:r>
      <w:r>
        <w:rPr>
          <w:rFonts w:hint="eastAsia" w:ascii="宋体" w:hAnsi="宋体" w:cs="宋体"/>
          <w:b w:val="0"/>
          <w:bCs w:val="0"/>
          <w:color w:val="000000" w:themeColor="text1"/>
          <w:sz w:val="24"/>
          <w:szCs w:val="24"/>
          <w14:textFill>
            <w14:solidFill>
              <w14:schemeClr w14:val="tx1"/>
            </w14:solidFill>
          </w14:textFill>
        </w:rPr>
        <w:t xml:space="preserve">  </w:t>
      </w:r>
      <w:r>
        <w:rPr>
          <w:rFonts w:hint="eastAsia" w:ascii="宋体" w:hAnsi="宋体" w:cs="宋体"/>
          <w:b w:val="0"/>
          <w:bCs w:val="0"/>
          <w:color w:val="000000" w:themeColor="text1"/>
          <w:sz w:val="24"/>
          <w:szCs w:val="24"/>
          <w:lang w:val="zh-CN"/>
          <w14:textFill>
            <w14:solidFill>
              <w14:schemeClr w14:val="tx1"/>
            </w14:solidFill>
          </w14:textFill>
        </w:rPr>
        <w:t>录</w:t>
      </w:r>
    </w:p>
    <w:p>
      <w:pPr>
        <w:pStyle w:val="9"/>
        <w:tabs>
          <w:tab w:val="right" w:leader="dot" w:pos="8306"/>
        </w:tabs>
        <w:spacing w:line="360" w:lineRule="auto"/>
        <w:rPr>
          <w:rFonts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TOC \o "1-3" \h \z \u </w:instrText>
      </w:r>
      <w:r>
        <w:rPr>
          <w:rFonts w:hint="eastAsia" w:ascii="宋体" w:hAnsi="宋体" w:cs="宋体"/>
          <w:sz w:val="24"/>
          <w:szCs w:val="24"/>
        </w:rPr>
        <w:fldChar w:fldCharType="separate"/>
      </w:r>
      <w:r>
        <w:fldChar w:fldCharType="begin"/>
      </w:r>
      <w:r>
        <w:instrText xml:space="preserve"> HYPERLINK \l "_Toc30871" </w:instrText>
      </w:r>
      <w:r>
        <w:fldChar w:fldCharType="separate"/>
      </w:r>
      <w:r>
        <w:rPr>
          <w:rFonts w:hint="eastAsia" w:ascii="宋体" w:hAnsi="宋体" w:cs="宋体"/>
          <w:bCs/>
          <w:sz w:val="24"/>
          <w:szCs w:val="24"/>
        </w:rPr>
        <w:t>1 系统主要功能</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_Toc30871 </w:instrText>
      </w:r>
      <w:r>
        <w:rPr>
          <w:rFonts w:hint="eastAsia" w:ascii="宋体" w:hAnsi="宋体" w:cs="宋体"/>
          <w:sz w:val="24"/>
          <w:szCs w:val="24"/>
        </w:rPr>
        <w:fldChar w:fldCharType="separate"/>
      </w:r>
      <w:r>
        <w:rPr>
          <w:rFonts w:hint="eastAsia" w:ascii="宋体" w:hAnsi="宋体" w:cs="宋体"/>
          <w:sz w:val="24"/>
          <w:szCs w:val="24"/>
        </w:rPr>
        <w:t>3</w:t>
      </w:r>
      <w:r>
        <w:rPr>
          <w:rFonts w:hint="eastAsia" w:ascii="宋体" w:hAnsi="宋体" w:cs="宋体"/>
          <w:sz w:val="24"/>
          <w:szCs w:val="24"/>
        </w:rPr>
        <w:fldChar w:fldCharType="end"/>
      </w:r>
      <w:r>
        <w:rPr>
          <w:rFonts w:hint="eastAsia" w:ascii="宋体" w:hAnsi="宋体" w:cs="宋体"/>
          <w:sz w:val="24"/>
          <w:szCs w:val="24"/>
        </w:rPr>
        <w:fldChar w:fldCharType="end"/>
      </w:r>
    </w:p>
    <w:p>
      <w:pPr>
        <w:pStyle w:val="9"/>
        <w:tabs>
          <w:tab w:val="right" w:leader="dot" w:pos="8306"/>
        </w:tabs>
        <w:spacing w:line="360" w:lineRule="auto"/>
        <w:rPr>
          <w:rFonts w:ascii="宋体" w:hAnsi="宋体" w:cs="宋体"/>
          <w:sz w:val="24"/>
          <w:szCs w:val="24"/>
        </w:rPr>
      </w:pPr>
      <w:r>
        <w:fldChar w:fldCharType="begin"/>
      </w:r>
      <w:r>
        <w:instrText xml:space="preserve"> HYPERLINK \l "_Toc8052" </w:instrText>
      </w:r>
      <w:r>
        <w:fldChar w:fldCharType="separate"/>
      </w:r>
      <w:r>
        <w:rPr>
          <w:rFonts w:hint="eastAsia" w:ascii="宋体" w:hAnsi="宋体" w:cs="宋体"/>
          <w:bCs/>
          <w:sz w:val="24"/>
          <w:szCs w:val="24"/>
        </w:rPr>
        <w:t>2 使用前准备</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_Toc8052 </w:instrText>
      </w:r>
      <w:r>
        <w:rPr>
          <w:rFonts w:hint="eastAsia" w:ascii="宋体" w:hAnsi="宋体" w:cs="宋体"/>
          <w:sz w:val="24"/>
          <w:szCs w:val="24"/>
        </w:rPr>
        <w:fldChar w:fldCharType="separate"/>
      </w:r>
      <w:r>
        <w:rPr>
          <w:rFonts w:hint="eastAsia" w:ascii="宋体" w:hAnsi="宋体" w:cs="宋体"/>
          <w:sz w:val="24"/>
          <w:szCs w:val="24"/>
        </w:rPr>
        <w:t>4</w:t>
      </w:r>
      <w:r>
        <w:rPr>
          <w:rFonts w:hint="eastAsia" w:ascii="宋体" w:hAnsi="宋体" w:cs="宋体"/>
          <w:sz w:val="24"/>
          <w:szCs w:val="24"/>
        </w:rPr>
        <w:fldChar w:fldCharType="end"/>
      </w:r>
      <w:r>
        <w:rPr>
          <w:rFonts w:hint="eastAsia" w:ascii="宋体" w:hAnsi="宋体" w:cs="宋体"/>
          <w:sz w:val="24"/>
          <w:szCs w:val="24"/>
        </w:rPr>
        <w:fldChar w:fldCharType="end"/>
      </w:r>
    </w:p>
    <w:p>
      <w:pPr>
        <w:pStyle w:val="9"/>
        <w:tabs>
          <w:tab w:val="right" w:leader="dot" w:pos="8306"/>
        </w:tabs>
        <w:spacing w:line="360" w:lineRule="auto"/>
        <w:rPr>
          <w:rFonts w:ascii="宋体" w:hAnsi="宋体" w:cs="宋体"/>
          <w:sz w:val="24"/>
          <w:szCs w:val="24"/>
        </w:rPr>
      </w:pPr>
      <w:r>
        <w:fldChar w:fldCharType="begin"/>
      </w:r>
      <w:r>
        <w:instrText xml:space="preserve"> HYPERLINK \l "_Toc18579" </w:instrText>
      </w:r>
      <w:r>
        <w:fldChar w:fldCharType="separate"/>
      </w:r>
      <w:r>
        <w:rPr>
          <w:rFonts w:hint="eastAsia" w:ascii="宋体" w:hAnsi="宋体" w:cs="宋体"/>
          <w:bCs/>
          <w:sz w:val="24"/>
          <w:szCs w:val="24"/>
        </w:rPr>
        <w:t>3 系统使用说明</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_Toc18579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"_Toc4099" </w:instrText>
      </w:r>
      <w:r>
        <w:fldChar w:fldCharType="separate"/>
      </w:r>
      <w:r>
        <w:rPr>
          <w:rFonts w:hint="eastAsia" w:ascii="宋体" w:hAnsi="宋体" w:cs="宋体"/>
          <w:bCs/>
          <w:sz w:val="24"/>
          <w:szCs w:val="24"/>
        </w:rPr>
        <w:t>3.1 用户注册</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_Toc4099 </w:instrText>
      </w:r>
      <w:r>
        <w:rPr>
          <w:rFonts w:hint="eastAsia" w:ascii="宋体" w:hAnsi="宋体" w:cs="宋体"/>
          <w:sz w:val="24"/>
          <w:szCs w:val="24"/>
        </w:rPr>
        <w:fldChar w:fldCharType="separate"/>
      </w:r>
      <w:r>
        <w:rPr>
          <w:rFonts w:hint="eastAsia" w:ascii="宋体" w:hAnsi="宋体" w:cs="宋体"/>
          <w:sz w:val="24"/>
          <w:szCs w:val="24"/>
        </w:rPr>
        <w:t>5</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"_Toc23929" </w:instrText>
      </w:r>
      <w:r>
        <w:fldChar w:fldCharType="separate"/>
      </w:r>
      <w:r>
        <w:rPr>
          <w:rFonts w:hint="eastAsia" w:ascii="宋体" w:hAnsi="宋体" w:cs="宋体"/>
          <w:bCs/>
          <w:sz w:val="24"/>
          <w:szCs w:val="24"/>
        </w:rPr>
        <w:t>3.2 用户登录</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_Toc23929 </w:instrText>
      </w:r>
      <w:r>
        <w:rPr>
          <w:rFonts w:hint="eastAsia" w:ascii="宋体" w:hAnsi="宋体" w:cs="宋体"/>
          <w:sz w:val="24"/>
          <w:szCs w:val="24"/>
        </w:rPr>
        <w:fldChar w:fldCharType="separate"/>
      </w:r>
      <w:r>
        <w:rPr>
          <w:rFonts w:hint="eastAsia" w:ascii="宋体" w:hAnsi="宋体" w:cs="宋体"/>
          <w:sz w:val="24"/>
          <w:szCs w:val="24"/>
        </w:rPr>
        <w:t>6</w:t>
      </w:r>
      <w:r>
        <w:rPr>
          <w:rFonts w:hint="eastAsia" w:ascii="宋体" w:hAnsi="宋体" w:cs="宋体"/>
          <w:sz w:val="24"/>
          <w:szCs w:val="24"/>
        </w:rPr>
        <w:fldChar w:fldCharType="end"/>
      </w:r>
      <w:r>
        <w:rPr>
          <w:rFonts w:hint="eastAsia" w:ascii="宋体" w:hAnsi="宋体" w:cs="宋体"/>
          <w:sz w:val="24"/>
          <w:szCs w:val="24"/>
        </w:rPr>
        <w:fldChar w:fldCharType="end"/>
      </w:r>
    </w:p>
    <w:p>
      <w:pPr>
        <w:pStyle w:val="9"/>
        <w:tabs>
          <w:tab w:val="right" w:leader="dot" w:pos="8306"/>
        </w:tabs>
        <w:spacing w:line="360" w:lineRule="auto"/>
        <w:rPr>
          <w:rFonts w:ascii="宋体" w:hAnsi="宋体" w:cs="宋体"/>
          <w:sz w:val="24"/>
          <w:szCs w:val="24"/>
        </w:rPr>
      </w:pPr>
      <w:r>
        <w:fldChar w:fldCharType="begin"/>
      </w:r>
      <w:r>
        <w:instrText xml:space="preserve"> HYPERLINK \l "_Toc1327" </w:instrText>
      </w:r>
      <w:r>
        <w:fldChar w:fldCharType="separate"/>
      </w:r>
      <w:r>
        <w:rPr>
          <w:rFonts w:hint="eastAsia" w:ascii="宋体" w:hAnsi="宋体" w:cs="宋体"/>
          <w:bCs/>
          <w:sz w:val="24"/>
          <w:szCs w:val="24"/>
        </w:rPr>
        <w:t>4 单位用户</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_Toc1327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"_Toc11127" </w:instrText>
      </w:r>
      <w:r>
        <w:fldChar w:fldCharType="separate"/>
      </w:r>
      <w:r>
        <w:rPr>
          <w:rFonts w:hint="eastAsia" w:ascii="宋体" w:hAnsi="宋体" w:cs="宋体"/>
          <w:bCs/>
          <w:sz w:val="24"/>
          <w:szCs w:val="24"/>
        </w:rPr>
        <w:t>4.1 首页</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_Toc11127 </w:instrText>
      </w:r>
      <w:r>
        <w:rPr>
          <w:rFonts w:hint="eastAsia" w:ascii="宋体" w:hAnsi="宋体" w:cs="宋体"/>
          <w:sz w:val="24"/>
          <w:szCs w:val="24"/>
        </w:rPr>
        <w:fldChar w:fldCharType="separate"/>
      </w:r>
      <w:r>
        <w:rPr>
          <w:rFonts w:hint="eastAsia" w:ascii="宋体" w:hAnsi="宋体" w:cs="宋体"/>
          <w:sz w:val="24"/>
          <w:szCs w:val="24"/>
        </w:rPr>
        <w:t>7</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"_Toc14166" </w:instrText>
      </w:r>
      <w:r>
        <w:fldChar w:fldCharType="separate"/>
      </w:r>
      <w:r>
        <w:rPr>
          <w:rFonts w:hint="eastAsia" w:ascii="宋体" w:hAnsi="宋体" w:cs="宋体"/>
          <w:bCs/>
          <w:sz w:val="24"/>
          <w:szCs w:val="24"/>
        </w:rPr>
        <w:t>4.2 通知</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_Toc14166 </w:instrText>
      </w:r>
      <w:r>
        <w:rPr>
          <w:rFonts w:hint="eastAsia" w:ascii="宋体" w:hAnsi="宋体" w:cs="宋体"/>
          <w:sz w:val="24"/>
          <w:szCs w:val="24"/>
        </w:rPr>
        <w:fldChar w:fldCharType="separate"/>
      </w:r>
      <w:r>
        <w:rPr>
          <w:rFonts w:hint="eastAsia" w:ascii="宋体" w:hAnsi="宋体" w:cs="宋体"/>
          <w:sz w:val="24"/>
          <w:szCs w:val="24"/>
        </w:rPr>
        <w:t>8</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"_Toc21192" </w:instrText>
      </w:r>
      <w:r>
        <w:fldChar w:fldCharType="separate"/>
      </w:r>
      <w:r>
        <w:rPr>
          <w:rFonts w:hint="eastAsia" w:ascii="宋体" w:hAnsi="宋体" w:cs="宋体"/>
          <w:bCs/>
          <w:sz w:val="24"/>
          <w:szCs w:val="24"/>
        </w:rPr>
        <w:t>4.3 会员动态</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_Toc21192 </w:instrText>
      </w:r>
      <w:r>
        <w:rPr>
          <w:rFonts w:hint="eastAsia" w:ascii="宋体" w:hAnsi="宋体" w:cs="宋体"/>
          <w:sz w:val="24"/>
          <w:szCs w:val="24"/>
        </w:rPr>
        <w:fldChar w:fldCharType="separate"/>
      </w:r>
      <w:r>
        <w:rPr>
          <w:rFonts w:hint="eastAsia" w:ascii="宋体" w:hAnsi="宋体" w:cs="宋体"/>
          <w:sz w:val="24"/>
          <w:szCs w:val="24"/>
        </w:rPr>
        <w:t>8</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"_Toc20910" </w:instrText>
      </w:r>
      <w:r>
        <w:fldChar w:fldCharType="separate"/>
      </w:r>
      <w:r>
        <w:rPr>
          <w:rFonts w:hint="eastAsia" w:ascii="宋体" w:hAnsi="宋体" w:cs="宋体"/>
          <w:bCs/>
          <w:sz w:val="24"/>
          <w:szCs w:val="24"/>
        </w:rPr>
        <w:t>4.4 咨询</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_Toc20910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"_Toc30196" </w:instrText>
      </w:r>
      <w:r>
        <w:fldChar w:fldCharType="separate"/>
      </w:r>
      <w:r>
        <w:rPr>
          <w:rFonts w:hint="eastAsia" w:ascii="宋体" w:hAnsi="宋体" w:cs="宋体"/>
          <w:bCs/>
          <w:sz w:val="24"/>
          <w:szCs w:val="24"/>
        </w:rPr>
        <w:t>4.5 会议</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_Toc30196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"_Toc10284" </w:instrText>
      </w:r>
      <w:r>
        <w:fldChar w:fldCharType="separate"/>
      </w:r>
      <w:r>
        <w:rPr>
          <w:rFonts w:hint="eastAsia" w:ascii="宋体" w:hAnsi="宋体" w:cs="宋体"/>
          <w:bCs/>
          <w:sz w:val="24"/>
          <w:szCs w:val="24"/>
        </w:rPr>
        <w:t>4.5.1 反馈</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_Toc10284 </w:instrText>
      </w:r>
      <w:r>
        <w:rPr>
          <w:rFonts w:hint="eastAsia" w:ascii="宋体" w:hAnsi="宋体" w:cs="宋体"/>
          <w:sz w:val="24"/>
          <w:szCs w:val="24"/>
        </w:rPr>
        <w:fldChar w:fldCharType="separate"/>
      </w:r>
      <w:r>
        <w:rPr>
          <w:rFonts w:hint="eastAsia" w:ascii="宋体" w:hAnsi="宋体" w:cs="宋体"/>
          <w:sz w:val="24"/>
          <w:szCs w:val="24"/>
        </w:rPr>
        <w:t>9</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"_Toc28314" </w:instrText>
      </w:r>
      <w:r>
        <w:fldChar w:fldCharType="separate"/>
      </w:r>
      <w:r>
        <w:rPr>
          <w:rFonts w:hint="eastAsia" w:ascii="宋体" w:hAnsi="宋体" w:cs="宋体"/>
          <w:bCs/>
          <w:sz w:val="24"/>
          <w:szCs w:val="24"/>
        </w:rPr>
        <w:t>4.5.2 会议</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_Toc28314 </w:instrText>
      </w:r>
      <w:r>
        <w:rPr>
          <w:rFonts w:hint="eastAsia" w:ascii="宋体" w:hAnsi="宋体" w:cs="宋体"/>
          <w:sz w:val="24"/>
          <w:szCs w:val="24"/>
        </w:rPr>
        <w:fldChar w:fldCharType="separate"/>
      </w:r>
      <w:r>
        <w:rPr>
          <w:rFonts w:hint="eastAsia" w:ascii="宋体" w:hAnsi="宋体" w:cs="宋体"/>
          <w:sz w:val="24"/>
          <w:szCs w:val="24"/>
        </w:rPr>
        <w:t>10</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"_Toc5502" </w:instrText>
      </w:r>
      <w:r>
        <w:fldChar w:fldCharType="separate"/>
      </w:r>
      <w:r>
        <w:rPr>
          <w:rFonts w:hint="eastAsia" w:ascii="宋体" w:hAnsi="宋体" w:cs="宋体"/>
          <w:bCs/>
          <w:sz w:val="24"/>
          <w:szCs w:val="24"/>
        </w:rPr>
        <w:t>4.6 培训</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_Toc5502 </w:instrText>
      </w:r>
      <w:r>
        <w:rPr>
          <w:rFonts w:hint="eastAsia" w:ascii="宋体" w:hAnsi="宋体" w:cs="宋体"/>
          <w:sz w:val="24"/>
          <w:szCs w:val="24"/>
        </w:rPr>
        <w:fldChar w:fldCharType="separate"/>
      </w:r>
      <w:r>
        <w:rPr>
          <w:rFonts w:hint="eastAsia" w:ascii="宋体" w:hAnsi="宋体" w:cs="宋体"/>
          <w:sz w:val="24"/>
          <w:szCs w:val="24"/>
        </w:rPr>
        <w:t>11</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"_Toc15862" </w:instrText>
      </w:r>
      <w:r>
        <w:fldChar w:fldCharType="separate"/>
      </w:r>
      <w:r>
        <w:rPr>
          <w:rFonts w:hint="eastAsia" w:ascii="宋体" w:hAnsi="宋体" w:cs="宋体"/>
          <w:bCs/>
          <w:sz w:val="24"/>
          <w:szCs w:val="24"/>
        </w:rPr>
        <w:t>4.6.1 培训</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_Toc15862 </w:instrText>
      </w:r>
      <w:r>
        <w:rPr>
          <w:rFonts w:hint="eastAsia" w:ascii="宋体" w:hAnsi="宋体" w:cs="宋体"/>
          <w:sz w:val="24"/>
          <w:szCs w:val="24"/>
        </w:rPr>
        <w:fldChar w:fldCharType="separate"/>
      </w:r>
      <w:r>
        <w:rPr>
          <w:rFonts w:hint="eastAsia" w:ascii="宋体" w:hAnsi="宋体" w:cs="宋体"/>
          <w:sz w:val="24"/>
          <w:szCs w:val="24"/>
        </w:rPr>
        <w:t>11</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"_Toc2583" </w:instrText>
      </w:r>
      <w:r>
        <w:fldChar w:fldCharType="separate"/>
      </w:r>
      <w:r>
        <w:rPr>
          <w:rFonts w:hint="eastAsia" w:ascii="宋体" w:hAnsi="宋体" w:cs="宋体"/>
          <w:bCs/>
          <w:sz w:val="24"/>
          <w:szCs w:val="24"/>
        </w:rPr>
        <w:t>4.6.2 反馈</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_Toc2583 </w:instrText>
      </w:r>
      <w:r>
        <w:rPr>
          <w:rFonts w:hint="eastAsia" w:ascii="宋体" w:hAnsi="宋体" w:cs="宋体"/>
          <w:sz w:val="24"/>
          <w:szCs w:val="24"/>
        </w:rPr>
        <w:fldChar w:fldCharType="separate"/>
      </w:r>
      <w:r>
        <w:rPr>
          <w:rFonts w:hint="eastAsia" w:ascii="宋体" w:hAnsi="宋体" w:cs="宋体"/>
          <w:sz w:val="24"/>
          <w:szCs w:val="24"/>
        </w:rPr>
        <w:t>12</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"_Toc15946" </w:instrText>
      </w:r>
      <w:r>
        <w:fldChar w:fldCharType="separate"/>
      </w:r>
      <w:r>
        <w:rPr>
          <w:rFonts w:hint="eastAsia" w:ascii="宋体" w:hAnsi="宋体" w:cs="宋体"/>
          <w:bCs/>
          <w:sz w:val="24"/>
          <w:szCs w:val="24"/>
        </w:rPr>
        <w:t>4.6.3 课程</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_Toc15946 </w:instrText>
      </w:r>
      <w:r>
        <w:rPr>
          <w:rFonts w:hint="eastAsia" w:ascii="宋体" w:hAnsi="宋体" w:cs="宋体"/>
          <w:sz w:val="24"/>
          <w:szCs w:val="24"/>
        </w:rPr>
        <w:fldChar w:fldCharType="separate"/>
      </w:r>
      <w:r>
        <w:rPr>
          <w:rFonts w:hint="eastAsia" w:ascii="宋体" w:hAnsi="宋体" w:cs="宋体"/>
          <w:sz w:val="24"/>
          <w:szCs w:val="24"/>
        </w:rPr>
        <w:t>12</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"_Toc23646" </w:instrText>
      </w:r>
      <w:r>
        <w:fldChar w:fldCharType="separate"/>
      </w:r>
      <w:r>
        <w:rPr>
          <w:rFonts w:hint="eastAsia" w:ascii="宋体" w:hAnsi="宋体" w:cs="宋体"/>
          <w:bCs/>
          <w:sz w:val="24"/>
          <w:szCs w:val="24"/>
        </w:rPr>
        <w:t>4.6.4 证书</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_Toc23646 </w:instrText>
      </w:r>
      <w:r>
        <w:rPr>
          <w:rFonts w:hint="eastAsia" w:ascii="宋体" w:hAnsi="宋体" w:cs="宋体"/>
          <w:sz w:val="24"/>
          <w:szCs w:val="24"/>
        </w:rPr>
        <w:fldChar w:fldCharType="separate"/>
      </w:r>
      <w:r>
        <w:rPr>
          <w:rFonts w:hint="eastAsia" w:ascii="宋体" w:hAnsi="宋体" w:cs="宋体"/>
          <w:sz w:val="24"/>
          <w:szCs w:val="24"/>
        </w:rPr>
        <w:t>12</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"_Toc1228" </w:instrText>
      </w:r>
      <w:r>
        <w:fldChar w:fldCharType="separate"/>
      </w:r>
      <w:r>
        <w:rPr>
          <w:rFonts w:hint="eastAsia" w:ascii="宋体" w:hAnsi="宋体" w:cs="宋体"/>
          <w:bCs/>
          <w:sz w:val="24"/>
          <w:szCs w:val="24"/>
        </w:rPr>
        <w:t>4.7 资源</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_Toc1228 </w:instrText>
      </w:r>
      <w:r>
        <w:rPr>
          <w:rFonts w:hint="eastAsia" w:ascii="宋体" w:hAnsi="宋体" w:cs="宋体"/>
          <w:sz w:val="24"/>
          <w:szCs w:val="24"/>
        </w:rPr>
        <w:fldChar w:fldCharType="separate"/>
      </w:r>
      <w:r>
        <w:rPr>
          <w:rFonts w:hint="eastAsia" w:ascii="宋体" w:hAnsi="宋体" w:cs="宋体"/>
          <w:sz w:val="24"/>
          <w:szCs w:val="24"/>
        </w:rPr>
        <w:t>13</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"_Toc11126" </w:instrText>
      </w:r>
      <w:r>
        <w:fldChar w:fldCharType="separate"/>
      </w:r>
      <w:r>
        <w:rPr>
          <w:rFonts w:hint="eastAsia" w:ascii="宋体" w:hAnsi="宋体" w:cs="宋体"/>
          <w:bCs/>
          <w:sz w:val="24"/>
          <w:szCs w:val="24"/>
        </w:rPr>
        <w:t>4.7.1 政策法规</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_Toc11126 </w:instrText>
      </w:r>
      <w:r>
        <w:rPr>
          <w:rFonts w:hint="eastAsia" w:ascii="宋体" w:hAnsi="宋体" w:cs="宋体"/>
          <w:sz w:val="24"/>
          <w:szCs w:val="24"/>
        </w:rPr>
        <w:fldChar w:fldCharType="separate"/>
      </w:r>
      <w:r>
        <w:rPr>
          <w:rFonts w:hint="eastAsia" w:ascii="宋体" w:hAnsi="宋体" w:cs="宋体"/>
          <w:sz w:val="24"/>
          <w:szCs w:val="24"/>
        </w:rPr>
        <w:t>13</w:t>
      </w:r>
      <w:r>
        <w:rPr>
          <w:rFonts w:hint="eastAsia" w:ascii="宋体" w:hAnsi="宋体" w:cs="宋体"/>
          <w:sz w:val="24"/>
          <w:szCs w:val="24"/>
        </w:rPr>
        <w:fldChar w:fldCharType="end"/>
      </w:r>
      <w:r>
        <w:rPr>
          <w:rFonts w:hint="eastAsia" w:ascii="宋体" w:hAnsi="宋体" w:cs="宋体"/>
          <w:sz w:val="24"/>
          <w:szCs w:val="24"/>
        </w:rPr>
        <w:fldChar w:fldCharType="end"/>
      </w:r>
    </w:p>
    <w:p>
      <w:pPr>
        <w:pStyle w:val="6"/>
        <w:tabs>
          <w:tab w:val="right" w:leader="dot" w:pos="8306"/>
        </w:tabs>
        <w:spacing w:line="360" w:lineRule="auto"/>
        <w:rPr>
          <w:rFonts w:ascii="宋体" w:hAnsi="宋体" w:cs="宋体"/>
          <w:sz w:val="24"/>
          <w:szCs w:val="24"/>
        </w:rPr>
      </w:pPr>
      <w:r>
        <w:fldChar w:fldCharType="begin"/>
      </w:r>
      <w:r>
        <w:instrText xml:space="preserve"> HYPERLINK \l "_Toc8138" </w:instrText>
      </w:r>
      <w:r>
        <w:fldChar w:fldCharType="separate"/>
      </w:r>
      <w:r>
        <w:rPr>
          <w:rFonts w:hint="eastAsia" w:ascii="宋体" w:hAnsi="宋体" w:cs="宋体"/>
          <w:bCs/>
          <w:sz w:val="24"/>
          <w:szCs w:val="24"/>
        </w:rPr>
        <w:t>4.7.2 培训课件</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_Toc8138 </w:instrText>
      </w:r>
      <w:r>
        <w:rPr>
          <w:rFonts w:hint="eastAsia" w:ascii="宋体" w:hAnsi="宋体" w:cs="宋体"/>
          <w:sz w:val="24"/>
          <w:szCs w:val="24"/>
        </w:rPr>
        <w:fldChar w:fldCharType="separate"/>
      </w:r>
      <w:r>
        <w:rPr>
          <w:rFonts w:hint="eastAsia" w:ascii="宋体" w:hAnsi="宋体" w:cs="宋体"/>
          <w:sz w:val="24"/>
          <w:szCs w:val="24"/>
        </w:rPr>
        <w:t>13</w:t>
      </w:r>
      <w:r>
        <w:rPr>
          <w:rFonts w:hint="eastAsia" w:ascii="宋体" w:hAnsi="宋体" w:cs="宋体"/>
          <w:sz w:val="24"/>
          <w:szCs w:val="24"/>
        </w:rPr>
        <w:fldChar w:fldCharType="end"/>
      </w:r>
      <w:r>
        <w:rPr>
          <w:rFonts w:hint="eastAsia" w:ascii="宋体" w:hAnsi="宋体" w:cs="宋体"/>
          <w:sz w:val="24"/>
          <w:szCs w:val="24"/>
        </w:rPr>
        <w:fldChar w:fldCharType="end"/>
      </w:r>
    </w:p>
    <w:p>
      <w:pPr>
        <w:pStyle w:val="10"/>
        <w:tabs>
          <w:tab w:val="right" w:leader="dot" w:pos="8306"/>
        </w:tabs>
        <w:spacing w:line="360" w:lineRule="auto"/>
        <w:rPr>
          <w:rFonts w:ascii="宋体" w:hAnsi="宋体" w:cs="宋体"/>
          <w:sz w:val="24"/>
          <w:szCs w:val="24"/>
        </w:rPr>
      </w:pPr>
      <w:r>
        <w:fldChar w:fldCharType="begin"/>
      </w:r>
      <w:r>
        <w:instrText xml:space="preserve"> HYPERLINK \l "_Toc28997" </w:instrText>
      </w:r>
      <w:r>
        <w:fldChar w:fldCharType="separate"/>
      </w:r>
      <w:r>
        <w:rPr>
          <w:rFonts w:hint="eastAsia" w:ascii="宋体" w:hAnsi="宋体" w:cs="宋体"/>
          <w:bCs/>
          <w:sz w:val="24"/>
          <w:szCs w:val="24"/>
        </w:rPr>
        <w:t>4.8 信息维护</w:t>
      </w:r>
      <w:r>
        <w:rPr>
          <w:rFonts w:hint="eastAsia" w:ascii="宋体" w:hAnsi="宋体" w:cs="宋体"/>
          <w:sz w:val="24"/>
          <w:szCs w:val="24"/>
        </w:rPr>
        <w:tab/>
      </w:r>
      <w:r>
        <w:rPr>
          <w:rFonts w:hint="eastAsia" w:ascii="宋体" w:hAnsi="宋体" w:cs="宋体"/>
          <w:sz w:val="24"/>
          <w:szCs w:val="24"/>
        </w:rPr>
        <w:fldChar w:fldCharType="begin"/>
      </w:r>
      <w:r>
        <w:rPr>
          <w:rFonts w:hint="eastAsia" w:ascii="宋体" w:hAnsi="宋体" w:cs="宋体"/>
          <w:sz w:val="24"/>
          <w:szCs w:val="24"/>
        </w:rPr>
        <w:instrText xml:space="preserve"> PAGEREF _Toc28997 </w:instrText>
      </w:r>
      <w:r>
        <w:rPr>
          <w:rFonts w:hint="eastAsia" w:ascii="宋体" w:hAnsi="宋体" w:cs="宋体"/>
          <w:sz w:val="24"/>
          <w:szCs w:val="24"/>
        </w:rPr>
        <w:fldChar w:fldCharType="separate"/>
      </w:r>
      <w:r>
        <w:rPr>
          <w:rFonts w:hint="eastAsia" w:ascii="宋体" w:hAnsi="宋体" w:cs="宋体"/>
          <w:sz w:val="24"/>
          <w:szCs w:val="24"/>
        </w:rPr>
        <w:t>14</w:t>
      </w:r>
      <w:r>
        <w:rPr>
          <w:rFonts w:hint="eastAsia" w:ascii="宋体" w:hAnsi="宋体" w:cs="宋体"/>
          <w:sz w:val="24"/>
          <w:szCs w:val="24"/>
        </w:rPr>
        <w:fldChar w:fldCharType="end"/>
      </w:r>
      <w:r>
        <w:rPr>
          <w:rFonts w:hint="eastAsia" w:ascii="宋体" w:hAnsi="宋体" w:cs="宋体"/>
          <w:sz w:val="24"/>
          <w:szCs w:val="24"/>
        </w:rPr>
        <w:fldChar w:fldCharType="end"/>
      </w:r>
    </w:p>
    <w:p>
      <w:pPr>
        <w:pStyle w:val="22"/>
        <w:tabs>
          <w:tab w:val="left" w:pos="454"/>
          <w:tab w:val="left" w:pos="680"/>
        </w:tabs>
        <w:adjustRightInd/>
        <w:snapToGrid/>
        <w:rPr>
          <w:rFonts w:eastAsia="黑体"/>
        </w:rPr>
      </w:pPr>
      <w:r>
        <w:rPr>
          <w:rFonts w:hint="eastAsia" w:ascii="宋体" w:hAnsi="宋体" w:eastAsia="宋体" w:cs="宋体"/>
          <w:sz w:val="24"/>
          <w:szCs w:val="24"/>
        </w:rPr>
        <w:fldChar w:fldCharType="end"/>
      </w:r>
      <w:r>
        <w:rPr>
          <w:rFonts w:hint="eastAsia" w:eastAsia="黑体"/>
        </w:rPr>
        <w:t>系统主要功能</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首页</w:t>
      </w:r>
      <w:r>
        <w:rPr>
          <w:rFonts w:hint="eastAsia" w:ascii="宋体" w:hAnsi="宋体" w:eastAsia="宋体" w:cs="宋体"/>
          <w:sz w:val="24"/>
          <w:szCs w:val="24"/>
        </w:rPr>
        <w:t>：首页分不同区域对通知、培训、会议（会员首页显示）、我们咨询（会员首页显示）等内容进行了展示。</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通知</w:t>
      </w:r>
      <w:r>
        <w:rPr>
          <w:rFonts w:hint="eastAsia" w:ascii="宋体" w:hAnsi="宋体" w:eastAsia="宋体" w:cs="宋体"/>
          <w:sz w:val="24"/>
          <w:szCs w:val="24"/>
        </w:rPr>
        <w:t>：可实现对系统内通知的查看。</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会员动态</w:t>
      </w:r>
      <w:r>
        <w:rPr>
          <w:rFonts w:hint="eastAsia" w:ascii="宋体" w:hAnsi="宋体" w:eastAsia="宋体" w:cs="宋体"/>
          <w:sz w:val="24"/>
          <w:szCs w:val="24"/>
        </w:rPr>
        <w:t>：可实现对会员动态的添加、提交、查看、删除。（非会员单位只能查看）</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咨询</w:t>
      </w:r>
      <w:r>
        <w:rPr>
          <w:rFonts w:hint="eastAsia" w:ascii="宋体" w:hAnsi="宋体" w:eastAsia="宋体" w:cs="宋体"/>
          <w:sz w:val="24"/>
          <w:szCs w:val="24"/>
        </w:rPr>
        <w:t>：可实现对咨询信息的添加、提交、查看、删除。</w:t>
      </w:r>
    </w:p>
    <w:p>
      <w:pPr>
        <w:spacing w:line="360" w:lineRule="auto"/>
        <w:jc w:val="left"/>
        <w:rPr>
          <w:rFonts w:ascii="宋体" w:hAnsi="宋体" w:eastAsia="宋体" w:cs="宋体"/>
          <w:sz w:val="24"/>
          <w:szCs w:val="24"/>
        </w:rPr>
      </w:pPr>
      <w:r>
        <w:rPr>
          <w:rFonts w:hint="eastAsia" w:ascii="宋体" w:hAnsi="宋体" w:eastAsia="宋体" w:cs="宋体"/>
          <w:sz w:val="24"/>
          <w:szCs w:val="24"/>
        </w:rPr>
        <w:t>以及等待回复和已回复咨询信息的查看。</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会议</w:t>
      </w:r>
      <w:r>
        <w:rPr>
          <w:rFonts w:hint="eastAsia" w:ascii="宋体" w:hAnsi="宋体" w:eastAsia="宋体" w:cs="宋体"/>
          <w:sz w:val="24"/>
          <w:szCs w:val="24"/>
        </w:rPr>
        <w:t>：可实现对会议的查看、报名、缴费、酒店预订。</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培训</w:t>
      </w:r>
      <w:r>
        <w:rPr>
          <w:rFonts w:hint="eastAsia" w:ascii="宋体" w:hAnsi="宋体" w:eastAsia="宋体" w:cs="宋体"/>
          <w:sz w:val="24"/>
          <w:szCs w:val="24"/>
        </w:rPr>
        <w:t>：可实现线上培训的查看、报名、缴费、在线学习、在线考试，实现线下培训的查看，报名、缴费、酒店预订。</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资源</w:t>
      </w:r>
      <w:r>
        <w:rPr>
          <w:rFonts w:hint="eastAsia" w:ascii="宋体" w:hAnsi="宋体" w:eastAsia="宋体" w:cs="宋体"/>
          <w:sz w:val="24"/>
          <w:szCs w:val="24"/>
        </w:rPr>
        <w:t>：可实现对资源信息查看、下载。</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信息维护</w:t>
      </w:r>
      <w:r>
        <w:rPr>
          <w:rFonts w:hint="eastAsia" w:ascii="宋体" w:hAnsi="宋体" w:eastAsia="宋体" w:cs="宋体"/>
          <w:sz w:val="24"/>
          <w:szCs w:val="24"/>
        </w:rPr>
        <w:t>：实现对单位各类信息的维护。</w:t>
      </w:r>
    </w:p>
    <w:p>
      <w:pPr>
        <w:spacing w:line="360" w:lineRule="auto"/>
        <w:ind w:firstLine="482" w:firstLineChars="200"/>
        <w:jc w:val="left"/>
        <w:rPr>
          <w:rFonts w:ascii="宋体" w:hAnsi="宋体" w:eastAsia="宋体" w:cs="宋体"/>
          <w:sz w:val="24"/>
          <w:szCs w:val="24"/>
        </w:rPr>
      </w:pPr>
      <w:r>
        <w:rPr>
          <w:rFonts w:hint="eastAsia" w:ascii="宋体" w:hAnsi="宋体" w:eastAsia="宋体" w:cs="宋体"/>
          <w:b/>
          <w:bCs/>
          <w:sz w:val="24"/>
          <w:szCs w:val="24"/>
        </w:rPr>
        <w:t>QQ交谈</w:t>
      </w:r>
      <w:r>
        <w:rPr>
          <w:rFonts w:hint="eastAsia" w:ascii="宋体" w:hAnsi="宋体" w:eastAsia="宋体" w:cs="宋体"/>
          <w:sz w:val="24"/>
          <w:szCs w:val="24"/>
        </w:rPr>
        <w:t>：点击可添加协会工作人员QQ好友。</w:t>
      </w:r>
    </w:p>
    <w:p>
      <w:pPr>
        <w:pStyle w:val="22"/>
        <w:tabs>
          <w:tab w:val="left" w:pos="454"/>
          <w:tab w:val="left" w:pos="680"/>
        </w:tabs>
        <w:adjustRightInd/>
        <w:snapToGrid/>
        <w:rPr>
          <w:rFonts w:eastAsia="黑体"/>
        </w:rPr>
      </w:pPr>
      <w:bookmarkStart w:id="0" w:name="_Toc8052"/>
      <w:r>
        <w:rPr>
          <w:rFonts w:hint="eastAsia" w:eastAsia="黑体"/>
        </w:rPr>
        <w:t>使用前准备</w:t>
      </w:r>
      <w:bookmarkEnd w:id="0"/>
    </w:p>
    <w:p>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为了保证使用质量，请使用谷歌浏览器、360浏览器极速模式、火狐浏览器或者是IE10以上浏览器。其中360浏览器的极速模式选择如下图:</w:t>
      </w:r>
    </w:p>
    <w:p>
      <w:pPr>
        <w:widowControl/>
        <w:spacing w:line="360" w:lineRule="auto"/>
        <w:jc w:val="left"/>
        <w:rPr>
          <w:rFonts w:ascii="宋体" w:hAnsi="宋体" w:eastAsia="宋体" w:cs="宋体"/>
          <w:kern w:val="0"/>
          <w:sz w:val="24"/>
          <w:szCs w:val="24"/>
        </w:rPr>
      </w:pPr>
      <w:r>
        <w:rPr>
          <w:rFonts w:hint="eastAsia" w:ascii="宋体" w:hAnsi="宋体" w:eastAsia="宋体" w:cs="宋体"/>
          <w:sz w:val="24"/>
          <w:szCs w:val="24"/>
        </w:rPr>
        <w:drawing>
          <wp:inline distT="0" distB="0" distL="0" distR="0">
            <wp:extent cx="5274310" cy="3653790"/>
            <wp:effectExtent l="0" t="0" r="2540" b="3810"/>
            <wp:docPr id="111" name="图片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11"/>
                    <pic:cNvPicPr>
                      <a:picLocks noChangeAspect="1"/>
                    </pic:cNvPicPr>
                  </pic:nvPicPr>
                  <pic:blipFill>
                    <a:blip r:embed="rId4"/>
                    <a:stretch>
                      <a:fillRect/>
                    </a:stretch>
                  </pic:blipFill>
                  <pic:spPr>
                    <a:xfrm>
                      <a:off x="0" y="0"/>
                      <a:ext cx="5274310" cy="3653790"/>
                    </a:xfrm>
                    <a:prstGeom prst="rect">
                      <a:avLst/>
                    </a:prstGeom>
                  </pic:spPr>
                </pic:pic>
              </a:graphicData>
            </a:graphic>
          </wp:inline>
        </w:drawing>
      </w:r>
    </w:p>
    <w:p>
      <w:pPr>
        <w:pStyle w:val="22"/>
        <w:tabs>
          <w:tab w:val="left" w:pos="454"/>
          <w:tab w:val="left" w:pos="680"/>
        </w:tabs>
        <w:adjustRightInd/>
        <w:snapToGrid/>
        <w:rPr>
          <w:rFonts w:eastAsia="黑体"/>
        </w:rPr>
      </w:pPr>
      <w:bookmarkStart w:id="1" w:name="_Toc18579"/>
      <w:r>
        <w:rPr>
          <w:rFonts w:hint="eastAsia" w:eastAsia="黑体"/>
        </w:rPr>
        <w:t>系统使用说明</w:t>
      </w:r>
      <w:bookmarkEnd w:id="1"/>
    </w:p>
    <w:p>
      <w:pPr>
        <w:pStyle w:val="23"/>
        <w:tabs>
          <w:tab w:val="left" w:pos="420"/>
          <w:tab w:val="left" w:pos="454"/>
        </w:tabs>
        <w:spacing w:before="120" w:after="120" w:line="240" w:lineRule="auto"/>
        <w:rPr>
          <w:rFonts w:ascii="Cambria" w:hAnsi="Cambria" w:eastAsia="宋体"/>
        </w:rPr>
      </w:pPr>
      <w:bookmarkStart w:id="2" w:name="_Toc4099"/>
      <w:r>
        <w:rPr>
          <w:rFonts w:hint="eastAsia" w:ascii="Cambria" w:hAnsi="Cambria" w:eastAsia="宋体"/>
        </w:rPr>
        <w:t>用户注册</w:t>
      </w:r>
      <w:bookmarkEnd w:id="2"/>
    </w:p>
    <w:p>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t>在浏览器输入网址之后，如图在登录右下角点击立即注册后跳转至用户注册界面。</w:t>
      </w:r>
      <w:r>
        <w:rPr>
          <w:rFonts w:hint="eastAsia" w:ascii="宋体" w:hAnsi="宋体" w:eastAsia="宋体" w:cs="宋体"/>
          <w:sz w:val="24"/>
          <w:szCs w:val="24"/>
        </w:rPr>
        <w:drawing>
          <wp:inline distT="0" distB="0" distL="114300" distR="114300">
            <wp:extent cx="5269230" cy="2533650"/>
            <wp:effectExtent l="0" t="0" r="7620" b="0"/>
            <wp:docPr id="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pic:cNvPicPr>
                      <a:picLocks noChangeAspect="1"/>
                    </pic:cNvPicPr>
                  </pic:nvPicPr>
                  <pic:blipFill>
                    <a:blip r:embed="rId5"/>
                    <a:stretch>
                      <a:fillRect/>
                    </a:stretch>
                  </pic:blipFill>
                  <pic:spPr>
                    <a:xfrm>
                      <a:off x="0" y="0"/>
                      <a:ext cx="5269230" cy="2533650"/>
                    </a:xfrm>
                    <a:prstGeom prst="rect">
                      <a:avLst/>
                    </a:prstGeom>
                    <a:noFill/>
                    <a:ln>
                      <a:noFill/>
                    </a:ln>
                  </pic:spPr>
                </pic:pic>
              </a:graphicData>
            </a:graphic>
          </wp:inline>
        </w:drawing>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注册界面分单位用户和个人用户，选择单位用户填写完注册信息后勾选“我已阅读并同意...”，再点击提交注册即可。单位用户的账号为注册时填写的单位名称。</w:t>
      </w:r>
    </w:p>
    <w:p>
      <w:pPr>
        <w:spacing w:line="360" w:lineRule="auto"/>
        <w:ind w:firstLine="480" w:firstLineChars="200"/>
        <w:rPr>
          <w:rFonts w:ascii="宋体" w:hAnsi="宋体" w:eastAsia="宋体" w:cs="宋体"/>
          <w:sz w:val="24"/>
          <w:szCs w:val="24"/>
        </w:rPr>
      </w:pPr>
    </w:p>
    <w:p>
      <w:pPr>
        <w:spacing w:line="360" w:lineRule="auto"/>
        <w:ind w:firstLine="480" w:firstLineChars="200"/>
        <w:jc w:val="left"/>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8595" cy="3402330"/>
            <wp:effectExtent l="0" t="0" r="8255" b="7620"/>
            <wp:docPr id="1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icPr>
                  <pic:blipFill>
                    <a:blip r:embed="rId6"/>
                    <a:stretch>
                      <a:fillRect/>
                    </a:stretch>
                  </pic:blipFill>
                  <pic:spPr>
                    <a:xfrm>
                      <a:off x="0" y="0"/>
                      <a:ext cx="5268595" cy="3402330"/>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3" w:name="_Toc23929"/>
      <w:r>
        <w:rPr>
          <w:rFonts w:hint="eastAsia" w:ascii="Cambria" w:hAnsi="Cambria" w:eastAsia="宋体"/>
        </w:rPr>
        <w:t>用户登录</w:t>
      </w:r>
      <w:bookmarkEnd w:id="3"/>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在浏览器输入网址之后，显示出平台的登陆页面。通过用户登陆入口点击登陆。单位用户的账号为注册时填写的单位名称。</w:t>
      </w:r>
    </w:p>
    <w:p>
      <w:pPr>
        <w:spacing w:line="360" w:lineRule="auto"/>
        <w:rPr>
          <w:rFonts w:ascii="宋体" w:hAnsi="宋体" w:eastAsia="宋体" w:cs="宋体"/>
          <w:b/>
          <w:sz w:val="24"/>
          <w:szCs w:val="24"/>
        </w:rPr>
      </w:pPr>
      <w:r>
        <w:rPr>
          <w:rFonts w:hint="eastAsia" w:ascii="宋体" w:hAnsi="宋体" w:eastAsia="宋体" w:cs="宋体"/>
          <w:sz w:val="24"/>
          <w:szCs w:val="24"/>
        </w:rPr>
        <w:drawing>
          <wp:inline distT="0" distB="0" distL="0" distR="0">
            <wp:extent cx="5274310" cy="3823970"/>
            <wp:effectExtent l="0" t="0" r="2540" b="5080"/>
            <wp:docPr id="112" name="图片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图片 112"/>
                    <pic:cNvPicPr>
                      <a:picLocks noChangeAspect="1"/>
                    </pic:cNvPicPr>
                  </pic:nvPicPr>
                  <pic:blipFill>
                    <a:blip r:embed="rId7"/>
                    <a:stretch>
                      <a:fillRect/>
                    </a:stretch>
                  </pic:blipFill>
                  <pic:spPr>
                    <a:xfrm>
                      <a:off x="0" y="0"/>
                      <a:ext cx="5274310" cy="3823970"/>
                    </a:xfrm>
                    <a:prstGeom prst="rect">
                      <a:avLst/>
                    </a:prstGeom>
                  </pic:spPr>
                </pic:pic>
              </a:graphicData>
            </a:graphic>
          </wp:inline>
        </w:drawing>
      </w:r>
    </w:p>
    <w:p>
      <w:pPr>
        <w:pStyle w:val="22"/>
        <w:tabs>
          <w:tab w:val="left" w:pos="454"/>
          <w:tab w:val="left" w:pos="680"/>
        </w:tabs>
        <w:adjustRightInd/>
        <w:snapToGrid/>
        <w:rPr>
          <w:rFonts w:eastAsia="黑体"/>
        </w:rPr>
      </w:pPr>
      <w:bookmarkStart w:id="4" w:name="_Toc1327"/>
      <w:r>
        <w:rPr>
          <w:rFonts w:hint="eastAsia" w:eastAsia="黑体"/>
        </w:rPr>
        <w:t>单位用户</w:t>
      </w:r>
      <w:bookmarkEnd w:id="4"/>
    </w:p>
    <w:p>
      <w:pPr>
        <w:pStyle w:val="23"/>
        <w:tabs>
          <w:tab w:val="left" w:pos="420"/>
          <w:tab w:val="left" w:pos="454"/>
        </w:tabs>
        <w:spacing w:before="120" w:after="120" w:line="240" w:lineRule="auto"/>
        <w:rPr>
          <w:rFonts w:ascii="Cambria" w:hAnsi="Cambria" w:eastAsia="宋体"/>
        </w:rPr>
      </w:pPr>
      <w:bookmarkStart w:id="5" w:name="_Toc11127"/>
      <w:r>
        <w:rPr>
          <w:rFonts w:hint="eastAsia" w:ascii="Cambria" w:hAnsi="Cambria" w:eastAsia="宋体"/>
        </w:rPr>
        <w:t>首页</w:t>
      </w:r>
      <w:bookmarkEnd w:id="5"/>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单位用户为非会员时，首页会提示该单位为非会员单位，可点击提示后的“加入协会”，并按要求填写信息，缴纳会费后即可成为协会会员单位。</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非会员单位首页可查看通知和培训。</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会员单位首页可查看通知、培训、我的咨询以及会议。</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0340" cy="2390775"/>
            <wp:effectExtent l="0" t="0" r="16510" b="9525"/>
            <wp:docPr id="1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3"/>
                    <pic:cNvPicPr>
                      <a:picLocks noChangeAspect="1"/>
                    </pic:cNvPicPr>
                  </pic:nvPicPr>
                  <pic:blipFill>
                    <a:blip r:embed="rId8"/>
                    <a:stretch>
                      <a:fillRect/>
                    </a:stretch>
                  </pic:blipFill>
                  <pic:spPr>
                    <a:xfrm>
                      <a:off x="0" y="0"/>
                      <a:ext cx="5260340" cy="239077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6" w:name="_Toc14166"/>
      <w:r>
        <w:rPr>
          <w:rFonts w:hint="eastAsia" w:ascii="Cambria" w:hAnsi="Cambria" w:eastAsia="宋体"/>
        </w:rPr>
        <w:t>通知</w:t>
      </w:r>
      <w:bookmarkEnd w:id="6"/>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通知分为未读、已读和全部三个页签，用户可在不同页签下查看对应的通知列表信息，点击列表后的查看可对通知详细内容进行查看。</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1610" cy="1456055"/>
            <wp:effectExtent l="0" t="0" r="15240" b="10795"/>
            <wp:docPr id="2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pic:cNvPicPr>
                      <a:picLocks noChangeAspect="1"/>
                    </pic:cNvPicPr>
                  </pic:nvPicPr>
                  <pic:blipFill>
                    <a:blip r:embed="rId9"/>
                    <a:stretch>
                      <a:fillRect/>
                    </a:stretch>
                  </pic:blipFill>
                  <pic:spPr>
                    <a:xfrm>
                      <a:off x="0" y="0"/>
                      <a:ext cx="5261610" cy="145605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7" w:name="_Toc21192"/>
      <w:r>
        <w:rPr>
          <w:rFonts w:hint="eastAsia" w:ascii="Cambria" w:hAnsi="Cambria" w:eastAsia="宋体"/>
        </w:rPr>
        <w:t>会员动态</w:t>
      </w:r>
      <w:bookmarkEnd w:id="7"/>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会员动态可在右侧点击添加，填写完内容后点击保存，再从会员动态列表右侧点击提交，提交给协会审核通过后即可在系统内展示会员动态内容。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ind w:firstLine="480" w:firstLineChars="200"/>
        <w:rPr>
          <w:rFonts w:ascii="宋体" w:hAnsi="宋体" w:eastAsia="宋体" w:cs="宋体"/>
          <w:sz w:val="24"/>
          <w:szCs w:val="24"/>
        </w:rPr>
      </w:pP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4785" cy="1480185"/>
            <wp:effectExtent l="0" t="0" r="12065" b="5715"/>
            <wp:docPr id="2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5"/>
                    <pic:cNvPicPr>
                      <a:picLocks noChangeAspect="1"/>
                    </pic:cNvPicPr>
                  </pic:nvPicPr>
                  <pic:blipFill>
                    <a:blip r:embed="rId10"/>
                    <a:stretch>
                      <a:fillRect/>
                    </a:stretch>
                  </pic:blipFill>
                  <pic:spPr>
                    <a:xfrm>
                      <a:off x="0" y="0"/>
                      <a:ext cx="5264785" cy="148018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8" w:name="_Toc20910"/>
      <w:r>
        <w:rPr>
          <w:rFonts w:hint="eastAsia" w:ascii="Cambria" w:hAnsi="Cambria" w:eastAsia="宋体"/>
        </w:rPr>
        <w:t>咨询</w:t>
      </w:r>
      <w:bookmarkEnd w:id="8"/>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咨询分为待提交、待回复、已回复三个页签，用户可在不同页签下查看对应的咨询列表信息。在待提交页签下，点击右侧添加按钮添加咨询信息，要咨询的内容填写完后点击保存，再从待提交页签下勾选该咨询后点击右侧提交按钮。提交后该咨询在待回复页签下显示，点击可查看咨询内容。待咨询被回复后该咨询在已回复页签下显示，点击可查看具体回复内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8595" cy="1097915"/>
            <wp:effectExtent l="0" t="0" r="8255" b="6985"/>
            <wp:docPr id="2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pic:cNvPicPr>
                      <a:picLocks noChangeAspect="1"/>
                    </pic:cNvPicPr>
                  </pic:nvPicPr>
                  <pic:blipFill>
                    <a:blip r:embed="rId11"/>
                    <a:stretch>
                      <a:fillRect/>
                    </a:stretch>
                  </pic:blipFill>
                  <pic:spPr>
                    <a:xfrm>
                      <a:off x="0" y="0"/>
                      <a:ext cx="5268595" cy="109791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9" w:name="_Toc30196"/>
      <w:r>
        <w:rPr>
          <w:rFonts w:hint="eastAsia" w:ascii="Cambria" w:hAnsi="Cambria" w:eastAsia="宋体"/>
        </w:rPr>
        <w:t>会议</w:t>
      </w:r>
      <w:bookmarkEnd w:id="9"/>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会议功能由反馈和会议组成。</w:t>
      </w:r>
    </w:p>
    <w:p>
      <w:pPr>
        <w:pStyle w:val="25"/>
        <w:keepNext w:val="0"/>
        <w:keepLines w:val="0"/>
        <w:widowControl/>
        <w:spacing w:before="120" w:after="120" w:line="240" w:lineRule="auto"/>
        <w:jc w:val="left"/>
        <w:rPr>
          <w:rFonts w:eastAsia="宋体"/>
        </w:rPr>
      </w:pPr>
      <w:bookmarkStart w:id="10" w:name="_Toc10284"/>
      <w:r>
        <w:rPr>
          <w:rFonts w:hint="eastAsia" w:eastAsia="宋体"/>
        </w:rPr>
        <w:t>反馈</w:t>
      </w:r>
      <w:bookmarkEnd w:id="10"/>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在右侧目录点击反馈，显示参加过的会议列表，可点击反馈对其会议满意度和建议进行反馈。</w:t>
      </w:r>
    </w:p>
    <w:p>
      <w:pPr>
        <w:pStyle w:val="25"/>
        <w:keepNext w:val="0"/>
        <w:keepLines w:val="0"/>
        <w:widowControl/>
        <w:spacing w:before="120" w:after="120" w:line="240" w:lineRule="auto"/>
        <w:jc w:val="left"/>
        <w:rPr>
          <w:rFonts w:eastAsia="宋体"/>
        </w:rPr>
      </w:pPr>
      <w:bookmarkStart w:id="11" w:name="_Toc28314"/>
      <w:r>
        <w:rPr>
          <w:rFonts w:hint="eastAsia" w:eastAsia="宋体"/>
          <w:lang w:val="en-US"/>
        </w:rPr>
        <w:t>会议</w:t>
      </w:r>
      <w:bookmarkEnd w:id="11"/>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在右侧目录点击会议，显示会议列表，会议分已报名和未报名两个页签。在未报名页签中可对会议进行报名。报名时需选择单位人员进行报名。报名成功后会在已报名页签下显示该会议信息。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页签下方的搜索功能可对标题内容关键字进行搜索，并可对会议类型进行高级搜索。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2880" cy="983615"/>
            <wp:effectExtent l="0" t="0" r="13970" b="6985"/>
            <wp:docPr id="23"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7"/>
                    <pic:cNvPicPr>
                      <a:picLocks noChangeAspect="1"/>
                    </pic:cNvPicPr>
                  </pic:nvPicPr>
                  <pic:blipFill>
                    <a:blip r:embed="rId12"/>
                    <a:stretch>
                      <a:fillRect/>
                    </a:stretch>
                  </pic:blipFill>
                  <pic:spPr>
                    <a:xfrm>
                      <a:off x="0" y="0"/>
                      <a:ext cx="5262880" cy="983615"/>
                    </a:xfrm>
                    <a:prstGeom prst="rect">
                      <a:avLst/>
                    </a:prstGeom>
                    <a:noFill/>
                    <a:ln>
                      <a:noFill/>
                    </a:ln>
                  </pic:spPr>
                </pic:pic>
              </a:graphicData>
            </a:graphic>
          </wp:inline>
        </w:drawing>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73040" cy="1053465"/>
            <wp:effectExtent l="0" t="0" r="3810" b="13335"/>
            <wp:docPr id="24"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8"/>
                    <pic:cNvPicPr>
                      <a:picLocks noChangeAspect="1"/>
                    </pic:cNvPicPr>
                  </pic:nvPicPr>
                  <pic:blipFill>
                    <a:blip r:embed="rId13"/>
                    <a:stretch>
                      <a:fillRect/>
                    </a:stretch>
                  </pic:blipFill>
                  <pic:spPr>
                    <a:xfrm>
                      <a:off x="0" y="0"/>
                      <a:ext cx="5273040" cy="1053465"/>
                    </a:xfrm>
                    <a:prstGeom prst="rect">
                      <a:avLst/>
                    </a:prstGeom>
                    <a:noFill/>
                    <a:ln>
                      <a:noFill/>
                    </a:ln>
                  </pic:spPr>
                </pic:pic>
              </a:graphicData>
            </a:graphic>
          </wp:inline>
        </w:drawing>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在已报名页签下点击已报名会议信息列表右侧的详情，会显示会议通知、报名信息、酒店预订信息三个页签。其中在报名信息页签下可取消报名、在酒店预订信息页签下可对酒店进行预订。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71770" cy="1118235"/>
            <wp:effectExtent l="0" t="0" r="5080" b="5715"/>
            <wp:docPr id="25"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9"/>
                    <pic:cNvPicPr>
                      <a:picLocks noChangeAspect="1"/>
                    </pic:cNvPicPr>
                  </pic:nvPicPr>
                  <pic:blipFill>
                    <a:blip r:embed="rId14"/>
                    <a:stretch>
                      <a:fillRect/>
                    </a:stretch>
                  </pic:blipFill>
                  <pic:spPr>
                    <a:xfrm>
                      <a:off x="0" y="0"/>
                      <a:ext cx="5271770" cy="1118235"/>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12" w:name="_Toc5502"/>
      <w:r>
        <w:rPr>
          <w:rFonts w:hint="eastAsia" w:ascii="Cambria" w:hAnsi="Cambria" w:eastAsia="宋体"/>
        </w:rPr>
        <w:t>培训</w:t>
      </w:r>
      <w:bookmarkEnd w:id="12"/>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培训功能由培训、反馈、课程、证书组成。</w:t>
      </w:r>
    </w:p>
    <w:p>
      <w:pPr>
        <w:pStyle w:val="25"/>
        <w:keepNext w:val="0"/>
        <w:keepLines w:val="0"/>
        <w:widowControl/>
        <w:spacing w:before="120" w:after="120" w:line="240" w:lineRule="auto"/>
        <w:jc w:val="left"/>
        <w:rPr>
          <w:rFonts w:eastAsia="宋体"/>
          <w:lang w:val="en-US"/>
        </w:rPr>
      </w:pPr>
      <w:bookmarkStart w:id="13" w:name="_Toc15862"/>
      <w:r>
        <w:rPr>
          <w:rFonts w:hint="eastAsia" w:eastAsia="宋体"/>
          <w:lang w:val="en-US"/>
        </w:rPr>
        <w:t>培训</w:t>
      </w:r>
      <w:bookmarkEnd w:id="13"/>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在右侧目录点击培训显示培训列表，培训分已报名和未报名两个页签。在未报名页签中可对培训进行报名。报名时需选择单位人员进行报名。报名成功后会在已报名页签下显示该培训信息。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4785" cy="1115060"/>
            <wp:effectExtent l="0" t="0" r="12065" b="8890"/>
            <wp:docPr id="2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10"/>
                    <pic:cNvPicPr>
                      <a:picLocks noChangeAspect="1"/>
                    </pic:cNvPicPr>
                  </pic:nvPicPr>
                  <pic:blipFill>
                    <a:blip r:embed="rId15"/>
                    <a:stretch>
                      <a:fillRect/>
                    </a:stretch>
                  </pic:blipFill>
                  <pic:spPr>
                    <a:xfrm>
                      <a:off x="0" y="0"/>
                      <a:ext cx="5264785" cy="1115060"/>
                    </a:xfrm>
                    <a:prstGeom prst="rect">
                      <a:avLst/>
                    </a:prstGeom>
                    <a:noFill/>
                    <a:ln>
                      <a:noFill/>
                    </a:ln>
                  </pic:spPr>
                </pic:pic>
              </a:graphicData>
            </a:graphic>
          </wp:inline>
        </w:drawing>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已报名页签下点击已报名培训信息列表右侧的详情，会显示培训通知、培训变更通知、报名信息、酒店信息、支付信息五个页签。在培训变更通知页签可查看该培训是否有变更。在报名信息页签可点击线上缴费，进行线上缴费，也可点击取消报名，取消该培训报名（注：取消报名只能在缴费前取消）。在酒店信息页签下可进行酒店的预订。在支付信息的页签下可查看支付情况与开具发信信息。</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0340" cy="877570"/>
            <wp:effectExtent l="0" t="0" r="16510" b="17780"/>
            <wp:docPr id="2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11"/>
                    <pic:cNvPicPr>
                      <a:picLocks noChangeAspect="1"/>
                    </pic:cNvPicPr>
                  </pic:nvPicPr>
                  <pic:blipFill>
                    <a:blip r:embed="rId16"/>
                    <a:stretch>
                      <a:fillRect/>
                    </a:stretch>
                  </pic:blipFill>
                  <pic:spPr>
                    <a:xfrm>
                      <a:off x="0" y="0"/>
                      <a:ext cx="5260340" cy="877570"/>
                    </a:xfrm>
                    <a:prstGeom prst="rect">
                      <a:avLst/>
                    </a:prstGeom>
                    <a:noFill/>
                    <a:ln>
                      <a:noFill/>
                    </a:ln>
                  </pic:spPr>
                </pic:pic>
              </a:graphicData>
            </a:graphic>
          </wp:inline>
        </w:drawing>
      </w:r>
    </w:p>
    <w:p>
      <w:pPr>
        <w:pStyle w:val="25"/>
        <w:keepNext w:val="0"/>
        <w:keepLines w:val="0"/>
        <w:widowControl/>
        <w:spacing w:before="120" w:after="120" w:line="240" w:lineRule="auto"/>
        <w:jc w:val="left"/>
        <w:rPr>
          <w:rFonts w:eastAsia="宋体"/>
          <w:lang w:val="en-US"/>
        </w:rPr>
      </w:pPr>
      <w:bookmarkStart w:id="14" w:name="_Toc2583"/>
      <w:r>
        <w:rPr>
          <w:rFonts w:hint="eastAsia" w:eastAsia="宋体"/>
          <w:lang w:val="en-US"/>
        </w:rPr>
        <w:t>反馈</w:t>
      </w:r>
      <w:bookmarkEnd w:id="14"/>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在右侧目录点击反馈，显示参加过的培训列表，可点击反馈对其培训满意度和建议进行反馈。</w:t>
      </w:r>
    </w:p>
    <w:p>
      <w:pPr>
        <w:pStyle w:val="25"/>
        <w:keepNext w:val="0"/>
        <w:keepLines w:val="0"/>
        <w:widowControl/>
        <w:spacing w:before="120" w:after="120" w:line="240" w:lineRule="auto"/>
        <w:jc w:val="left"/>
        <w:rPr>
          <w:rFonts w:eastAsia="宋体"/>
          <w:lang w:val="en-US"/>
        </w:rPr>
      </w:pPr>
      <w:bookmarkStart w:id="15" w:name="_Toc15946"/>
      <w:r>
        <w:rPr>
          <w:rFonts w:hint="eastAsia" w:eastAsia="宋体"/>
          <w:lang w:val="en-US"/>
        </w:rPr>
        <w:t>课程</w:t>
      </w:r>
      <w:bookmarkEnd w:id="15"/>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课程显示课程列表，课程分全部课程和我的课程两个页签。在全部课程页签中可以看到发布的课程，点击右侧查看按钮后显示课程信息和支付信息两个页签，可在支付信息中查看课程价格及在线支付购买此课程。购买后的课程可在我的课程中查看。</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73675" cy="881380"/>
            <wp:effectExtent l="0" t="0" r="3175" b="13970"/>
            <wp:docPr id="2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2"/>
                    <pic:cNvPicPr>
                      <a:picLocks noChangeAspect="1"/>
                    </pic:cNvPicPr>
                  </pic:nvPicPr>
                  <pic:blipFill>
                    <a:blip r:embed="rId17"/>
                    <a:stretch>
                      <a:fillRect/>
                    </a:stretch>
                  </pic:blipFill>
                  <pic:spPr>
                    <a:xfrm>
                      <a:off x="0" y="0"/>
                      <a:ext cx="5273675" cy="881380"/>
                    </a:xfrm>
                    <a:prstGeom prst="rect">
                      <a:avLst/>
                    </a:prstGeom>
                    <a:noFill/>
                    <a:ln>
                      <a:noFill/>
                    </a:ln>
                  </pic:spPr>
                </pic:pic>
              </a:graphicData>
            </a:graphic>
          </wp:inline>
        </w:drawing>
      </w:r>
    </w:p>
    <w:p>
      <w:pPr>
        <w:pStyle w:val="25"/>
        <w:keepNext w:val="0"/>
        <w:keepLines w:val="0"/>
        <w:widowControl/>
        <w:spacing w:before="120" w:after="120" w:line="240" w:lineRule="auto"/>
        <w:jc w:val="left"/>
        <w:rPr>
          <w:rFonts w:eastAsia="宋体"/>
          <w:lang w:val="en-US"/>
        </w:rPr>
      </w:pPr>
      <w:bookmarkStart w:id="16" w:name="_Toc23646"/>
      <w:r>
        <w:rPr>
          <w:rFonts w:hint="eastAsia" w:eastAsia="宋体"/>
          <w:lang w:val="en-US"/>
        </w:rPr>
        <w:t>证书</w:t>
      </w:r>
      <w:bookmarkEnd w:id="16"/>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 xml:space="preserve">在右侧目录点击证书显示证书列表，证书分线上培训和下线培训两个页签。在线上培训页签中可对线上培训的考试分数等进行查看。线下培训页签可对线下培训成绩通过的进行证书查看。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73675" cy="994410"/>
            <wp:effectExtent l="0" t="0" r="3175" b="15240"/>
            <wp:docPr id="1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1"/>
                    <pic:cNvPicPr>
                      <a:picLocks noChangeAspect="1"/>
                    </pic:cNvPicPr>
                  </pic:nvPicPr>
                  <pic:blipFill>
                    <a:blip r:embed="rId18"/>
                    <a:stretch>
                      <a:fillRect/>
                    </a:stretch>
                  </pic:blipFill>
                  <pic:spPr>
                    <a:xfrm>
                      <a:off x="0" y="0"/>
                      <a:ext cx="5273675" cy="994410"/>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17" w:name="_Toc1228"/>
      <w:r>
        <w:rPr>
          <w:rFonts w:hint="eastAsia" w:ascii="Cambria" w:hAnsi="Cambria" w:eastAsia="宋体"/>
        </w:rPr>
        <w:t>资源</w:t>
      </w:r>
      <w:bookmarkEnd w:id="17"/>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资源由政策法规和培训课件组成。</w:t>
      </w:r>
    </w:p>
    <w:p>
      <w:pPr>
        <w:pStyle w:val="25"/>
        <w:keepNext w:val="0"/>
        <w:keepLines w:val="0"/>
        <w:widowControl/>
        <w:spacing w:before="120" w:after="120" w:line="240" w:lineRule="auto"/>
        <w:jc w:val="left"/>
        <w:rPr>
          <w:rFonts w:eastAsia="宋体"/>
          <w:lang w:val="en-US"/>
        </w:rPr>
      </w:pPr>
      <w:bookmarkStart w:id="18" w:name="_Toc11126"/>
      <w:r>
        <w:rPr>
          <w:rFonts w:hint="eastAsia" w:eastAsia="宋体"/>
          <w:lang w:val="en-US"/>
        </w:rPr>
        <w:t>政策法规</w:t>
      </w:r>
      <w:bookmarkEnd w:id="18"/>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在右侧目录点击政策法规显示政策法规列表，政策法规由法律、法规、部门规章、规范性文件四个页签。点击相应页签，显示相应资源列表，可对其进行查看。</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9230" cy="933450"/>
            <wp:effectExtent l="0" t="0" r="7620" b="0"/>
            <wp:docPr id="29"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3"/>
                    <pic:cNvPicPr>
                      <a:picLocks noChangeAspect="1"/>
                    </pic:cNvPicPr>
                  </pic:nvPicPr>
                  <pic:blipFill>
                    <a:blip r:embed="rId19"/>
                    <a:stretch>
                      <a:fillRect/>
                    </a:stretch>
                  </pic:blipFill>
                  <pic:spPr>
                    <a:xfrm>
                      <a:off x="0" y="0"/>
                      <a:ext cx="5269230" cy="933450"/>
                    </a:xfrm>
                    <a:prstGeom prst="rect">
                      <a:avLst/>
                    </a:prstGeom>
                    <a:noFill/>
                    <a:ln>
                      <a:noFill/>
                    </a:ln>
                  </pic:spPr>
                </pic:pic>
              </a:graphicData>
            </a:graphic>
          </wp:inline>
        </w:drawing>
      </w:r>
    </w:p>
    <w:p>
      <w:pPr>
        <w:pStyle w:val="25"/>
        <w:keepNext w:val="0"/>
        <w:keepLines w:val="0"/>
        <w:widowControl/>
        <w:spacing w:before="120" w:after="120" w:line="240" w:lineRule="auto"/>
        <w:jc w:val="left"/>
        <w:rPr>
          <w:rFonts w:eastAsia="宋体"/>
          <w:lang w:val="en-US"/>
        </w:rPr>
      </w:pPr>
      <w:bookmarkStart w:id="19" w:name="_Toc8138"/>
      <w:r>
        <w:rPr>
          <w:rFonts w:hint="eastAsia" w:eastAsia="宋体"/>
          <w:lang w:val="en-US"/>
        </w:rPr>
        <w:t>培训课件</w:t>
      </w:r>
      <w:bookmarkEnd w:id="19"/>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在右侧目录点击培训课件显示培训课件列表。可对已有的培训课件进行查看。</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页签下方的搜索功能可对标题内容关键字进行搜索。</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0340" cy="798830"/>
            <wp:effectExtent l="0" t="0" r="16510" b="1270"/>
            <wp:docPr id="30"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4"/>
                    <pic:cNvPicPr>
                      <a:picLocks noChangeAspect="1"/>
                    </pic:cNvPicPr>
                  </pic:nvPicPr>
                  <pic:blipFill>
                    <a:blip r:embed="rId20"/>
                    <a:stretch>
                      <a:fillRect/>
                    </a:stretch>
                  </pic:blipFill>
                  <pic:spPr>
                    <a:xfrm>
                      <a:off x="0" y="0"/>
                      <a:ext cx="5260340" cy="798830"/>
                    </a:xfrm>
                    <a:prstGeom prst="rect">
                      <a:avLst/>
                    </a:prstGeom>
                    <a:noFill/>
                    <a:ln>
                      <a:noFill/>
                    </a:ln>
                  </pic:spPr>
                </pic:pic>
              </a:graphicData>
            </a:graphic>
          </wp:inline>
        </w:drawing>
      </w:r>
    </w:p>
    <w:p>
      <w:pPr>
        <w:pStyle w:val="23"/>
        <w:tabs>
          <w:tab w:val="left" w:pos="420"/>
          <w:tab w:val="left" w:pos="454"/>
        </w:tabs>
        <w:spacing w:before="120" w:after="120" w:line="240" w:lineRule="auto"/>
        <w:rPr>
          <w:rFonts w:ascii="Cambria" w:hAnsi="Cambria" w:eastAsia="宋体"/>
        </w:rPr>
      </w:pPr>
      <w:bookmarkStart w:id="20" w:name="_Toc28997"/>
      <w:bookmarkStart w:id="21" w:name="_GoBack"/>
      <w:bookmarkEnd w:id="21"/>
      <w:r>
        <w:rPr>
          <w:rFonts w:hint="eastAsia" w:ascii="Cambria" w:hAnsi="Cambria" w:eastAsia="宋体"/>
        </w:rPr>
        <w:t>信息维护</w:t>
      </w:r>
      <w:bookmarkEnd w:id="20"/>
      <w:r>
        <w:rPr>
          <w:rFonts w:hint="eastAsia" w:ascii="Cambria" w:hAnsi="Cambria" w:eastAsia="宋体"/>
        </w:rPr>
        <w:t xml:space="preserve"> </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信息维护由基本信息、从业人员信息、资质信息、信息变更记录、入会变更记录、入会申请表、会费信息、证书信息八个页签。</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基本信息页签可点击编辑基本信息。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从业人员信息页签可查找从业人员。可点击手动添加从业人员，为单位添加从业人员及其账号（账号为其手机号码）。</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资质信息页签可点击添加或删除资质信息。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交易信息页签可添加或删除单位业绩信息。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信息变更记录页签可查看变更的信息。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入会申请表页签可查看入会申请表信息。</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会费信息页签可查看会费的缴纳情况及可点击右侧在线补交来补交欠费，或点击在线缴费在缴纳会费。</w:t>
      </w:r>
    </w:p>
    <w:p>
      <w:pPr>
        <w:spacing w:line="360" w:lineRule="auto"/>
        <w:ind w:firstLine="480" w:firstLineChars="200"/>
        <w:rPr>
          <w:rFonts w:ascii="宋体" w:hAnsi="宋体" w:eastAsia="宋体" w:cs="宋体"/>
          <w:sz w:val="24"/>
          <w:szCs w:val="24"/>
        </w:rPr>
      </w:pPr>
      <w:r>
        <w:rPr>
          <w:rFonts w:hint="eastAsia" w:ascii="宋体" w:hAnsi="宋体" w:eastAsia="宋体" w:cs="宋体"/>
          <w:sz w:val="24"/>
          <w:szCs w:val="24"/>
        </w:rPr>
        <w:t>证书信息页签可现实会员等级，证书编号等信息，可对会员证书在线预览或下载。</w:t>
      </w:r>
    </w:p>
    <w:p>
      <w:pPr>
        <w:spacing w:line="360" w:lineRule="auto"/>
        <w:rPr>
          <w:rFonts w:ascii="宋体" w:hAnsi="宋体" w:eastAsia="宋体" w:cs="宋体"/>
          <w:sz w:val="24"/>
          <w:szCs w:val="24"/>
        </w:rPr>
      </w:pPr>
      <w:r>
        <w:rPr>
          <w:rFonts w:hint="eastAsia" w:ascii="宋体" w:hAnsi="宋体" w:eastAsia="宋体" w:cs="宋体"/>
          <w:sz w:val="24"/>
          <w:szCs w:val="24"/>
        </w:rPr>
        <w:drawing>
          <wp:inline distT="0" distB="0" distL="114300" distR="114300">
            <wp:extent cx="5267325" cy="1210310"/>
            <wp:effectExtent l="0" t="0" r="9525" b="8890"/>
            <wp:docPr id="31"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5"/>
                    <pic:cNvPicPr>
                      <a:picLocks noChangeAspect="1"/>
                    </pic:cNvPicPr>
                  </pic:nvPicPr>
                  <pic:blipFill>
                    <a:blip r:embed="rId21"/>
                    <a:stretch>
                      <a:fillRect/>
                    </a:stretch>
                  </pic:blipFill>
                  <pic:spPr>
                    <a:xfrm>
                      <a:off x="0" y="0"/>
                      <a:ext cx="5267325" cy="1210310"/>
                    </a:xfrm>
                    <a:prstGeom prst="rect">
                      <a:avLst/>
                    </a:prstGeom>
                    <a:noFill/>
                    <a:ln>
                      <a:noFill/>
                    </a:ln>
                  </pic:spPr>
                </pic:pic>
              </a:graphicData>
            </a:graphic>
          </wp:inline>
        </w:draw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Calibri Light">
    <w:panose1 w:val="020F0302020204030204"/>
    <w:charset w:val="00"/>
    <w:family w:val="swiss"/>
    <w:pitch w:val="default"/>
    <w:sig w:usb0="A00002EF" w:usb1="4000207B" w:usb2="00000000" w:usb3="00000000" w:csb0="2000019F" w:csb1="00000000"/>
  </w:font>
  <w:font w:name="Arial">
    <w:panose1 w:val="020B0604020202020204"/>
    <w:charset w:val="00"/>
    <w:family w:val="swiss"/>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90892EE"/>
    <w:multiLevelType w:val="multilevel"/>
    <w:tmpl w:val="D90892EE"/>
    <w:lvl w:ilvl="0" w:tentative="0">
      <w:start w:val="1"/>
      <w:numFmt w:val="decimal"/>
      <w:pStyle w:val="22"/>
      <w:isLgl/>
      <w:suff w:val="space"/>
      <w:lvlText w:val="%1"/>
      <w:lvlJc w:val="left"/>
      <w:pPr>
        <w:tabs>
          <w:tab w:val="left" w:pos="0"/>
        </w:tabs>
        <w:ind w:left="425" w:firstLine="57"/>
      </w:pPr>
      <w:rPr>
        <w:rFonts w:hint="default" w:ascii="宋体" w:hAnsi="宋体" w:eastAsia="宋体" w:cs="宋体"/>
      </w:rPr>
    </w:lvl>
    <w:lvl w:ilvl="1" w:tentative="0">
      <w:start w:val="1"/>
      <w:numFmt w:val="decimal"/>
      <w:pStyle w:val="23"/>
      <w:isLgl/>
      <w:suff w:val="space"/>
      <w:lvlText w:val="%1.%2"/>
      <w:lvlJc w:val="left"/>
      <w:pPr>
        <w:tabs>
          <w:tab w:val="left" w:pos="0"/>
        </w:tabs>
        <w:ind w:left="567" w:hanging="85"/>
      </w:pPr>
      <w:rPr>
        <w:rFonts w:hint="default" w:ascii="宋体" w:hAnsi="宋体" w:eastAsia="宋体" w:cs="宋体"/>
      </w:rPr>
    </w:lvl>
    <w:lvl w:ilvl="2" w:tentative="0">
      <w:start w:val="1"/>
      <w:numFmt w:val="decimal"/>
      <w:pStyle w:val="25"/>
      <w:isLgl/>
      <w:suff w:val="space"/>
      <w:lvlText w:val="%1.%2.%3"/>
      <w:lvlJc w:val="left"/>
      <w:pPr>
        <w:tabs>
          <w:tab w:val="left" w:pos="454"/>
        </w:tabs>
        <w:ind w:left="709" w:hanging="227"/>
      </w:pPr>
      <w:rPr>
        <w:rFonts w:hint="default" w:ascii="宋体" w:hAnsi="宋体" w:eastAsia="宋体" w:cs="宋体"/>
      </w:rPr>
    </w:lvl>
    <w:lvl w:ilvl="3" w:tentative="0">
      <w:start w:val="1"/>
      <w:numFmt w:val="decimal"/>
      <w:isLgl/>
      <w:suff w:val="space"/>
      <w:lvlText w:val="%1.%2.%3.%4"/>
      <w:lvlJc w:val="left"/>
      <w:pPr>
        <w:tabs>
          <w:tab w:val="left" w:pos="482"/>
        </w:tabs>
        <w:ind w:left="850" w:hanging="368"/>
      </w:pPr>
      <w:rPr>
        <w:rFonts w:hint="default" w:ascii="宋体" w:hAnsi="宋体" w:eastAsia="宋体" w:cs="宋体"/>
      </w:rPr>
    </w:lvl>
    <w:lvl w:ilvl="4" w:tentative="0">
      <w:start w:val="1"/>
      <w:numFmt w:val="decimal"/>
      <w:isLgl/>
      <w:lvlText w:val="%1.%2.%3.%4.%5"/>
      <w:lvlJc w:val="left"/>
      <w:pPr>
        <w:tabs>
          <w:tab w:val="left" w:pos="482"/>
        </w:tabs>
        <w:ind w:left="991" w:hanging="509"/>
      </w:pPr>
      <w:rPr>
        <w:rFonts w:hint="default" w:ascii="宋体" w:hAnsi="宋体" w:eastAsia="宋体" w:cs="宋体"/>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070870"/>
    <w:rsid w:val="000222DA"/>
    <w:rsid w:val="001935A6"/>
    <w:rsid w:val="00645192"/>
    <w:rsid w:val="008479EE"/>
    <w:rsid w:val="009426C8"/>
    <w:rsid w:val="00DC251C"/>
    <w:rsid w:val="00F127F2"/>
    <w:rsid w:val="00F8302F"/>
    <w:rsid w:val="012F03D7"/>
    <w:rsid w:val="04EA76F0"/>
    <w:rsid w:val="05DA2A7F"/>
    <w:rsid w:val="093D15D4"/>
    <w:rsid w:val="09DC23F9"/>
    <w:rsid w:val="0AE821E4"/>
    <w:rsid w:val="0B462BAF"/>
    <w:rsid w:val="0C4B2B02"/>
    <w:rsid w:val="0E49043D"/>
    <w:rsid w:val="0E9A5C1C"/>
    <w:rsid w:val="11266A1F"/>
    <w:rsid w:val="141254EB"/>
    <w:rsid w:val="14EF2687"/>
    <w:rsid w:val="1C78178A"/>
    <w:rsid w:val="1D6A03F2"/>
    <w:rsid w:val="1DB43ED3"/>
    <w:rsid w:val="1F286F9D"/>
    <w:rsid w:val="201557B0"/>
    <w:rsid w:val="21002091"/>
    <w:rsid w:val="22656186"/>
    <w:rsid w:val="23DF789E"/>
    <w:rsid w:val="246B5511"/>
    <w:rsid w:val="26C16D2E"/>
    <w:rsid w:val="28BC460E"/>
    <w:rsid w:val="293B10EE"/>
    <w:rsid w:val="29764D62"/>
    <w:rsid w:val="2D4347A0"/>
    <w:rsid w:val="2F8567A4"/>
    <w:rsid w:val="30A12E01"/>
    <w:rsid w:val="310B7858"/>
    <w:rsid w:val="31BB153A"/>
    <w:rsid w:val="353843FD"/>
    <w:rsid w:val="36732D54"/>
    <w:rsid w:val="38437E02"/>
    <w:rsid w:val="38694C9E"/>
    <w:rsid w:val="39AF29B6"/>
    <w:rsid w:val="3A142B8D"/>
    <w:rsid w:val="3A72705D"/>
    <w:rsid w:val="3B070870"/>
    <w:rsid w:val="3F8D073D"/>
    <w:rsid w:val="46E2690E"/>
    <w:rsid w:val="4C744B47"/>
    <w:rsid w:val="4FA555C8"/>
    <w:rsid w:val="51342A43"/>
    <w:rsid w:val="51777624"/>
    <w:rsid w:val="51B51524"/>
    <w:rsid w:val="53A56821"/>
    <w:rsid w:val="549A007E"/>
    <w:rsid w:val="55EB7391"/>
    <w:rsid w:val="57946A9F"/>
    <w:rsid w:val="57DF1031"/>
    <w:rsid w:val="5D3324A3"/>
    <w:rsid w:val="5FE1395E"/>
    <w:rsid w:val="62265C82"/>
    <w:rsid w:val="627D6309"/>
    <w:rsid w:val="62F854D8"/>
    <w:rsid w:val="656C6DFB"/>
    <w:rsid w:val="65F43663"/>
    <w:rsid w:val="673B4BF1"/>
    <w:rsid w:val="68076718"/>
    <w:rsid w:val="6CDA7039"/>
    <w:rsid w:val="6F8022BC"/>
    <w:rsid w:val="718E5C99"/>
    <w:rsid w:val="74E0019A"/>
    <w:rsid w:val="77C500F7"/>
    <w:rsid w:val="7A304BDF"/>
    <w:rsid w:val="7B3161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iPriority="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qFormat/>
    <w:uiPriority w:val="0"/>
    <w:pPr>
      <w:keepNext/>
      <w:keepLines/>
      <w:adjustRightInd w:val="0"/>
      <w:snapToGrid w:val="0"/>
      <w:spacing w:before="340" w:line="360" w:lineRule="auto"/>
      <w:outlineLvl w:val="0"/>
    </w:pPr>
    <w:rPr>
      <w:rFonts w:ascii="Calibri" w:hAnsi="Calibri" w:eastAsia="微软雅黑"/>
      <w:b/>
      <w:bCs/>
      <w:kern w:val="44"/>
      <w:sz w:val="32"/>
      <w:szCs w:val="44"/>
    </w:rPr>
  </w:style>
  <w:style w:type="paragraph" w:styleId="3">
    <w:name w:val="heading 2"/>
    <w:basedOn w:val="1"/>
    <w:next w:val="1"/>
    <w:link w:val="15"/>
    <w:unhideWhenUsed/>
    <w:qFormat/>
    <w:uiPriority w:val="0"/>
    <w:pPr>
      <w:keepNext/>
      <w:keepLines/>
      <w:spacing w:line="360" w:lineRule="auto"/>
      <w:outlineLvl w:val="1"/>
    </w:pPr>
    <w:rPr>
      <w:rFonts w:eastAsia="黑体" w:asciiTheme="majorHAnsi" w:hAnsiTheme="majorHAnsi" w:cstheme="majorBidi"/>
      <w:b/>
      <w:bCs/>
      <w:sz w:val="30"/>
      <w:szCs w:val="32"/>
    </w:rPr>
  </w:style>
  <w:style w:type="paragraph" w:styleId="4">
    <w:name w:val="heading 3"/>
    <w:basedOn w:val="1"/>
    <w:next w:val="1"/>
    <w:link w:val="16"/>
    <w:unhideWhenUsed/>
    <w:qFormat/>
    <w:uiPriority w:val="0"/>
    <w:pPr>
      <w:keepNext/>
      <w:keepLines/>
      <w:spacing w:line="360" w:lineRule="auto"/>
      <w:outlineLvl w:val="2"/>
    </w:pPr>
    <w:rPr>
      <w:b/>
      <w:bCs/>
      <w:sz w:val="28"/>
      <w:szCs w:val="32"/>
    </w:rPr>
  </w:style>
  <w:style w:type="paragraph" w:styleId="5">
    <w:name w:val="heading 4"/>
    <w:basedOn w:val="1"/>
    <w:next w:val="1"/>
    <w:link w:val="17"/>
    <w:unhideWhenUsed/>
    <w:qFormat/>
    <w:uiPriority w:val="0"/>
    <w:pPr>
      <w:keepNext/>
      <w:keepLines/>
      <w:tabs>
        <w:tab w:val="left" w:pos="780"/>
        <w:tab w:val="left" w:pos="1920"/>
      </w:tabs>
      <w:spacing w:line="360" w:lineRule="auto"/>
      <w:ind w:firstLine="883" w:firstLineChars="200"/>
      <w:jc w:val="left"/>
      <w:outlineLvl w:val="3"/>
    </w:pPr>
    <w:rPr>
      <w:rFonts w:ascii="Arial" w:hAnsi="Arial" w:eastAsia="宋体"/>
      <w:b/>
      <w:bCs/>
      <w:szCs w:val="28"/>
    </w:rPr>
  </w:style>
  <w:style w:type="character" w:default="1" w:styleId="12">
    <w:name w:val="Default Paragraph Font"/>
    <w:semiHidden/>
    <w:unhideWhenUsed/>
    <w:uiPriority w:val="1"/>
  </w:style>
  <w:style w:type="table" w:default="1" w:styleId="11">
    <w:name w:val="Normal Table"/>
    <w:semiHidden/>
    <w:unhideWhenUsed/>
    <w:uiPriority w:val="99"/>
    <w:tblPr>
      <w:tblLayout w:type="fixed"/>
      <w:tblCellMar>
        <w:top w:w="0" w:type="dxa"/>
        <w:left w:w="108" w:type="dxa"/>
        <w:bottom w:w="0" w:type="dxa"/>
        <w:right w:w="108" w:type="dxa"/>
      </w:tblCellMar>
    </w:tblPr>
  </w:style>
  <w:style w:type="paragraph" w:styleId="6">
    <w:name w:val="toc 3"/>
    <w:basedOn w:val="1"/>
    <w:next w:val="1"/>
    <w:unhideWhenUsed/>
    <w:qFormat/>
    <w:uiPriority w:val="39"/>
    <w:pPr>
      <w:widowControl/>
      <w:spacing w:after="100" w:line="276" w:lineRule="auto"/>
      <w:ind w:left="446"/>
      <w:jc w:val="left"/>
    </w:pPr>
    <w:rPr>
      <w:rFonts w:ascii="Calibri" w:hAnsi="Calibri" w:eastAsia="宋体" w:cs="黑体"/>
      <w:kern w:val="0"/>
      <w:sz w:val="22"/>
    </w:rPr>
  </w:style>
  <w:style w:type="paragraph" w:styleId="7">
    <w:name w:val="footer"/>
    <w:basedOn w:val="1"/>
    <w:link w:val="27"/>
    <w:uiPriority w:val="0"/>
    <w:pPr>
      <w:tabs>
        <w:tab w:val="center" w:pos="4153"/>
        <w:tab w:val="right" w:pos="8306"/>
      </w:tabs>
      <w:snapToGrid w:val="0"/>
      <w:jc w:val="left"/>
    </w:pPr>
    <w:rPr>
      <w:sz w:val="18"/>
      <w:szCs w:val="18"/>
    </w:rPr>
  </w:style>
  <w:style w:type="paragraph" w:styleId="8">
    <w:name w:val="header"/>
    <w:basedOn w:val="1"/>
    <w:link w:val="26"/>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unhideWhenUsed/>
    <w:qFormat/>
    <w:uiPriority w:val="39"/>
    <w:pPr>
      <w:widowControl/>
      <w:spacing w:after="100" w:line="276" w:lineRule="auto"/>
      <w:jc w:val="left"/>
    </w:pPr>
    <w:rPr>
      <w:rFonts w:ascii="Calibri" w:hAnsi="Calibri" w:eastAsia="宋体" w:cs="黑体"/>
      <w:kern w:val="0"/>
      <w:sz w:val="22"/>
    </w:rPr>
  </w:style>
  <w:style w:type="paragraph" w:styleId="10">
    <w:name w:val="toc 2"/>
    <w:basedOn w:val="1"/>
    <w:next w:val="1"/>
    <w:unhideWhenUsed/>
    <w:qFormat/>
    <w:uiPriority w:val="39"/>
    <w:pPr>
      <w:widowControl/>
      <w:spacing w:after="100" w:line="276" w:lineRule="auto"/>
      <w:ind w:left="220"/>
      <w:jc w:val="left"/>
    </w:pPr>
    <w:rPr>
      <w:rFonts w:ascii="Calibri" w:hAnsi="Calibri" w:eastAsia="宋体" w:cs="黑体"/>
      <w:kern w:val="0"/>
      <w:sz w:val="22"/>
    </w:rPr>
  </w:style>
  <w:style w:type="character" w:styleId="13">
    <w:name w:val="Hyperlink"/>
    <w:unhideWhenUsed/>
    <w:qFormat/>
    <w:uiPriority w:val="99"/>
    <w:rPr>
      <w:color w:val="0000FF"/>
      <w:u w:val="single"/>
    </w:rPr>
  </w:style>
  <w:style w:type="character" w:customStyle="1" w:styleId="14">
    <w:name w:val="标题 1 字符"/>
    <w:link w:val="2"/>
    <w:qFormat/>
    <w:uiPriority w:val="9"/>
    <w:rPr>
      <w:rFonts w:ascii="Calibri" w:hAnsi="Calibri" w:eastAsia="微软雅黑" w:cs="Times New Roman"/>
      <w:b/>
      <w:bCs/>
      <w:kern w:val="44"/>
      <w:sz w:val="32"/>
      <w:szCs w:val="44"/>
    </w:rPr>
  </w:style>
  <w:style w:type="character" w:customStyle="1" w:styleId="15">
    <w:name w:val="标题 2 字符"/>
    <w:link w:val="3"/>
    <w:qFormat/>
    <w:uiPriority w:val="9"/>
    <w:rPr>
      <w:rFonts w:ascii="Calibri Light" w:hAnsi="Calibri Light" w:eastAsia="黑体" w:cs="Times New Roman"/>
      <w:b/>
      <w:bCs/>
      <w:sz w:val="30"/>
      <w:szCs w:val="32"/>
    </w:rPr>
  </w:style>
  <w:style w:type="character" w:customStyle="1" w:styleId="16">
    <w:name w:val="标题 3 字符"/>
    <w:basedOn w:val="12"/>
    <w:link w:val="4"/>
    <w:qFormat/>
    <w:uiPriority w:val="9"/>
    <w:rPr>
      <w:rFonts w:eastAsia="宋体" w:asciiTheme="minorHAnsi" w:hAnsiTheme="minorHAnsi" w:cstheme="minorBidi"/>
      <w:b/>
      <w:bCs/>
      <w:sz w:val="28"/>
      <w:szCs w:val="32"/>
    </w:rPr>
  </w:style>
  <w:style w:type="character" w:customStyle="1" w:styleId="17">
    <w:name w:val="标题 4 字符"/>
    <w:basedOn w:val="12"/>
    <w:link w:val="5"/>
    <w:qFormat/>
    <w:uiPriority w:val="0"/>
    <w:rPr>
      <w:rFonts w:ascii="Arial" w:hAnsi="Arial" w:eastAsia="宋体"/>
      <w:b/>
      <w:bCs/>
      <w:sz w:val="24"/>
      <w:szCs w:val="28"/>
    </w:rPr>
  </w:style>
  <w:style w:type="paragraph" w:customStyle="1" w:styleId="18">
    <w:name w:val="样式11"/>
    <w:basedOn w:val="2"/>
    <w:next w:val="1"/>
    <w:qFormat/>
    <w:uiPriority w:val="0"/>
  </w:style>
  <w:style w:type="paragraph" w:customStyle="1" w:styleId="19">
    <w:name w:val="样式12"/>
    <w:basedOn w:val="18"/>
    <w:qFormat/>
    <w:uiPriority w:val="0"/>
    <w:rPr>
      <w:sz w:val="30"/>
    </w:rPr>
  </w:style>
  <w:style w:type="paragraph" w:customStyle="1" w:styleId="20">
    <w:name w:val="TOC 标题1"/>
    <w:basedOn w:val="2"/>
    <w:next w:val="1"/>
    <w:unhideWhenUsed/>
    <w:qFormat/>
    <w:uiPriority w:val="39"/>
    <w:pPr>
      <w:widowControl/>
      <w:spacing w:before="480" w:line="276" w:lineRule="auto"/>
      <w:jc w:val="left"/>
      <w:outlineLvl w:val="9"/>
    </w:pPr>
    <w:rPr>
      <w:rFonts w:ascii="Cambria" w:hAnsi="Cambria" w:eastAsia="宋体" w:cs="黑体"/>
      <w:color w:val="365F90"/>
      <w:kern w:val="0"/>
      <w:sz w:val="28"/>
      <w:szCs w:val="28"/>
    </w:rPr>
  </w:style>
  <w:style w:type="paragraph" w:customStyle="1" w:styleId="21">
    <w:name w:val="列出段落1"/>
    <w:basedOn w:val="1"/>
    <w:qFormat/>
    <w:uiPriority w:val="34"/>
    <w:pPr>
      <w:ind w:firstLine="420" w:firstLineChars="200"/>
    </w:pPr>
    <w:rPr>
      <w:rFonts w:ascii="Calibri" w:hAnsi="Calibri" w:eastAsia="宋体" w:cs="黑体"/>
    </w:rPr>
  </w:style>
  <w:style w:type="paragraph" w:customStyle="1" w:styleId="22">
    <w:name w:val="段1"/>
    <w:basedOn w:val="2"/>
    <w:qFormat/>
    <w:uiPriority w:val="0"/>
    <w:pPr>
      <w:keepLines w:val="0"/>
      <w:widowControl/>
      <w:numPr>
        <w:ilvl w:val="0"/>
        <w:numId w:val="1"/>
      </w:numPr>
      <w:spacing w:before="120" w:after="120"/>
      <w:jc w:val="left"/>
    </w:pPr>
    <w:rPr>
      <w:rFonts w:ascii="Cambria" w:hAnsi="Cambria" w:cs="Times New Roman"/>
      <w:b w:val="0"/>
      <w:kern w:val="32"/>
      <w:sz w:val="28"/>
      <w:szCs w:val="18"/>
    </w:rPr>
  </w:style>
  <w:style w:type="paragraph" w:customStyle="1" w:styleId="23">
    <w:name w:val="段2"/>
    <w:basedOn w:val="3"/>
    <w:next w:val="24"/>
    <w:qFormat/>
    <w:uiPriority w:val="0"/>
    <w:pPr>
      <w:numPr>
        <w:ilvl w:val="1"/>
        <w:numId w:val="1"/>
      </w:numPr>
    </w:pPr>
    <w:rPr>
      <w:rFonts w:cs="Times New Roman"/>
      <w:iCs/>
      <w:sz w:val="24"/>
      <w:szCs w:val="18"/>
    </w:rPr>
  </w:style>
  <w:style w:type="paragraph" w:customStyle="1" w:styleId="24">
    <w:name w:val="宋体正文"/>
    <w:qFormat/>
    <w:uiPriority w:val="0"/>
    <w:pPr>
      <w:spacing w:line="360" w:lineRule="auto"/>
    </w:pPr>
    <w:rPr>
      <w:rFonts w:ascii="仿宋_GB2312" w:hAnsi="Calibri" w:eastAsia="仿宋_GB2312" w:cs="宋体"/>
      <w:bCs/>
      <w:sz w:val="21"/>
      <w:szCs w:val="21"/>
      <w:lang w:val="en-US" w:eastAsia="zh-CN" w:bidi="ar-SA"/>
    </w:rPr>
  </w:style>
  <w:style w:type="paragraph" w:customStyle="1" w:styleId="25">
    <w:name w:val="段3"/>
    <w:basedOn w:val="4"/>
    <w:next w:val="24"/>
    <w:qFormat/>
    <w:uiPriority w:val="0"/>
    <w:pPr>
      <w:numPr>
        <w:ilvl w:val="2"/>
        <w:numId w:val="1"/>
      </w:numPr>
    </w:pPr>
    <w:rPr>
      <w:rFonts w:ascii="仿宋_GB2312" w:hAnsi="仿宋_GB2312" w:cs="Times New Roman"/>
      <w:color w:val="000000" w:themeColor="text1"/>
      <w:kern w:val="0"/>
      <w:sz w:val="24"/>
      <w:szCs w:val="30"/>
      <w:lang w:val="zh-CN"/>
      <w14:textFill>
        <w14:solidFill>
          <w14:schemeClr w14:val="tx1"/>
        </w14:solidFill>
      </w14:textFill>
    </w:rPr>
  </w:style>
  <w:style w:type="character" w:customStyle="1" w:styleId="26">
    <w:name w:val="页眉 字符"/>
    <w:basedOn w:val="12"/>
    <w:link w:val="8"/>
    <w:uiPriority w:val="0"/>
    <w:rPr>
      <w:kern w:val="2"/>
      <w:sz w:val="18"/>
      <w:szCs w:val="18"/>
    </w:rPr>
  </w:style>
  <w:style w:type="character" w:customStyle="1" w:styleId="27">
    <w:name w:val="页脚 字符"/>
    <w:basedOn w:val="12"/>
    <w:link w:val="7"/>
    <w:uiPriority w:val="0"/>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ylmfeng.com</Company>
  <Pages>11</Pages>
  <Words>578</Words>
  <Characters>3300</Characters>
  <Lines>27</Lines>
  <Paragraphs>7</Paragraphs>
  <TotalTime>1</TotalTime>
  <ScaleCrop>false</ScaleCrop>
  <LinksUpToDate>false</LinksUpToDate>
  <CharactersWithSpaces>3871</CharactersWithSpaces>
  <Application>WPS Office_11.1.0.9098_F1E327BC-269C-435d-A152-05C5408002CA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2019-08-27T05:54:00Z</dcterms:created>
  <dc:creator>吃了木鱼的猫</dc:creator>
  <cp:lastModifiedBy>丁庐浩</cp:lastModifiedBy>
  <dcterms:modified xsi:type="dcterms:W3CDTF">2019-10-28T06:27:45Z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2052-11.1.0.9098</vt:lpwstr>
  </property>
</Properties>
</file>