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E983" w14:textId="77777777" w:rsidR="00A40B36" w:rsidRDefault="00000000">
      <w:pPr>
        <w:rPr>
          <w:rFonts w:ascii="黑体" w:eastAsia="黑体" w:hAnsi="黑体" w:cs="黑体" w:hint="eastAsia"/>
          <w:bCs/>
          <w:sz w:val="32"/>
          <w:szCs w:val="32"/>
        </w:rPr>
      </w:pPr>
      <w:r>
        <w:rPr>
          <w:rFonts w:ascii="黑体" w:eastAsia="黑体" w:hAnsi="黑体" w:cs="黑体" w:hint="eastAsia"/>
          <w:bCs/>
          <w:sz w:val="32"/>
          <w:szCs w:val="32"/>
        </w:rPr>
        <w:t>附件1：</w:t>
      </w:r>
    </w:p>
    <w:p w14:paraId="56C30740" w14:textId="77777777" w:rsidR="00A40B36" w:rsidRDefault="00A40B36">
      <w:pPr>
        <w:jc w:val="center"/>
        <w:rPr>
          <w:rFonts w:hint="eastAsia"/>
          <w:b/>
          <w:sz w:val="32"/>
          <w:szCs w:val="32"/>
        </w:rPr>
      </w:pPr>
    </w:p>
    <w:p w14:paraId="12FA1917" w14:textId="77777777" w:rsidR="00A40B36" w:rsidRDefault="00000000">
      <w:pPr>
        <w:spacing w:line="560" w:lineRule="exact"/>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贵州财经职业学院简介及专业介绍</w:t>
      </w:r>
    </w:p>
    <w:p w14:paraId="1FA14B9E" w14:textId="77777777" w:rsidR="00A40B36" w:rsidRDefault="00A40B36">
      <w:pPr>
        <w:spacing w:line="560" w:lineRule="exact"/>
        <w:jc w:val="center"/>
        <w:rPr>
          <w:rFonts w:ascii="仿宋_GB2312" w:eastAsia="仿宋_GB2312" w:hAnsi="仿宋_GB2312" w:cs="仿宋_GB2312" w:hint="eastAsia"/>
          <w:bCs/>
          <w:sz w:val="44"/>
          <w:szCs w:val="44"/>
        </w:rPr>
      </w:pPr>
    </w:p>
    <w:p w14:paraId="3B831843" w14:textId="77777777" w:rsidR="00701496" w:rsidRPr="00701496" w:rsidRDefault="00000000" w:rsidP="00701496">
      <w:pPr>
        <w:spacing w:line="560" w:lineRule="exact"/>
        <w:ind w:firstLineChars="200" w:firstLine="643"/>
        <w:jc w:val="left"/>
        <w:rPr>
          <w:rFonts w:ascii="仿宋_GB2312" w:eastAsia="仿宋_GB2312" w:hAnsi="仿宋_GB2312" w:cs="仿宋_GB2312"/>
          <w:sz w:val="32"/>
          <w:szCs w:val="32"/>
        </w:rPr>
      </w:pPr>
      <w:r>
        <w:rPr>
          <w:rFonts w:ascii="仿宋_GB2312" w:eastAsia="仿宋_GB2312" w:hAnsi="仿宋_GB2312" w:cs="仿宋_GB2312" w:hint="eastAsia"/>
          <w:b/>
          <w:sz w:val="32"/>
          <w:szCs w:val="32"/>
        </w:rPr>
        <w:t>学院简介：</w:t>
      </w:r>
      <w:r w:rsidR="00701496" w:rsidRPr="00701496">
        <w:rPr>
          <w:rFonts w:ascii="仿宋_GB2312" w:eastAsia="仿宋_GB2312" w:hAnsi="仿宋_GB2312" w:cs="仿宋_GB2312" w:hint="eastAsia"/>
          <w:sz w:val="32"/>
          <w:szCs w:val="32"/>
        </w:rPr>
        <w:t>贵州财经职业学院是经贵州省人民政府批准、教育部备案的全日制公办普通高等职业院校，由贵州省教育厅主管、贵州省财政厅协管。是全球工匠联盟（亚太区）委员单位、全国教育系统先进集体、教育部职业教育信息化标杆学校、教育部学生综合素质训练基地、教育部第一批职业教育现场工程师专项培养计划立项学校、全国急救教育试点学校、全国首批《数字化会计教育认定（DAEC）项目》标杆校认定单位、全国会计行业产教融合共同体常务副理事长单位、数智（大数据）赋能行业产教融合共同体理事长单位、智慧物流与供应链行业产教融合共同体理事单位、“一带一路”高校联盟职教分盟、贵州财经职业教育集团牵头单位、贵州省教育国际交流协会会员单位、贵州职教美术联盟成员单位等。</w:t>
      </w:r>
    </w:p>
    <w:p w14:paraId="6851C269" w14:textId="77777777" w:rsidR="00701496" w:rsidRPr="00701496" w:rsidRDefault="00701496" w:rsidP="00701496">
      <w:pPr>
        <w:spacing w:line="560" w:lineRule="exact"/>
        <w:ind w:firstLineChars="200" w:firstLine="640"/>
        <w:jc w:val="left"/>
        <w:rPr>
          <w:rFonts w:ascii="仿宋_GB2312" w:eastAsia="仿宋_GB2312" w:hAnsi="仿宋_GB2312" w:cs="仿宋_GB2312" w:hint="eastAsia"/>
          <w:sz w:val="32"/>
          <w:szCs w:val="32"/>
        </w:rPr>
      </w:pPr>
      <w:r w:rsidRPr="00701496">
        <w:rPr>
          <w:rFonts w:ascii="仿宋_GB2312" w:eastAsia="仿宋_GB2312" w:hAnsi="仿宋_GB2312" w:cs="仿宋_GB2312" w:hint="eastAsia"/>
          <w:sz w:val="32"/>
          <w:szCs w:val="32"/>
        </w:rPr>
        <w:t>现有专任教师282人，副高及以上职称37人，具有硕士学位及以上126人，双师素质187人；有“名师工作室”1个，省级优秀教学团队1个。</w:t>
      </w:r>
    </w:p>
    <w:p w14:paraId="5B7D7C3F" w14:textId="30B2D049" w:rsidR="00A40B36" w:rsidRDefault="00701496" w:rsidP="00701496">
      <w:pPr>
        <w:spacing w:line="560" w:lineRule="exact"/>
        <w:jc w:val="left"/>
        <w:rPr>
          <w:rFonts w:ascii="仿宋_GB2312" w:eastAsia="仿宋_GB2312" w:hAnsi="仿宋_GB2312" w:cs="仿宋_GB2312" w:hint="eastAsia"/>
          <w:b/>
          <w:sz w:val="32"/>
          <w:szCs w:val="32"/>
        </w:rPr>
      </w:pPr>
      <w:r>
        <w:rPr>
          <w:rFonts w:ascii="仿宋_GB2312" w:eastAsia="仿宋_GB2312" w:hAnsi="仿宋_GB2312" w:cs="仿宋_GB2312" w:hint="eastAsia"/>
          <w:sz w:val="32"/>
          <w:szCs w:val="32"/>
        </w:rPr>
        <w:t xml:space="preserve">    </w:t>
      </w:r>
      <w:r w:rsidRPr="00701496">
        <w:rPr>
          <w:rFonts w:ascii="仿宋_GB2312" w:eastAsia="仿宋_GB2312" w:hAnsi="仿宋_GB2312" w:cs="仿宋_GB2312" w:hint="eastAsia"/>
          <w:sz w:val="32"/>
          <w:szCs w:val="32"/>
        </w:rPr>
        <w:t>学院本着“以德修身、以技立业、服务基层”的办学理念和“质量立校、特色兴校、人才强校”的发展战略，坚持“明德至善·诚信至上”的校训，秉承“家国情怀·担当奉献”的新时代学院精神，树牢“贵”字大理</w:t>
      </w:r>
      <w:r w:rsidRPr="00701496">
        <w:rPr>
          <w:rFonts w:ascii="仿宋_GB2312" w:eastAsia="仿宋_GB2312" w:hAnsi="仿宋_GB2312" w:cs="仿宋_GB2312" w:hint="eastAsia"/>
          <w:sz w:val="32"/>
          <w:szCs w:val="32"/>
        </w:rPr>
        <w:lastRenderedPageBreak/>
        <w:t>念，擦亮“财”字金招牌，做实“职”字新类型，心系财政、感恩奋进，致力为多彩贵州现代化建设培养更多“讲政治、守诚信、精技能、记乡愁”的基层高素质复合型技术技能人才。</w:t>
      </w:r>
    </w:p>
    <w:p w14:paraId="56B29525" w14:textId="77777777" w:rsidR="00701496" w:rsidRDefault="00000000">
      <w:pPr>
        <w:spacing w:line="560" w:lineRule="exact"/>
        <w:ind w:firstLineChars="200" w:firstLine="643"/>
        <w:jc w:val="left"/>
        <w:rPr>
          <w:rFonts w:ascii="仿宋_GB2312" w:eastAsia="仿宋_GB2312" w:hAnsi="仿宋_GB2312" w:cs="仿宋_GB2312"/>
          <w:sz w:val="32"/>
          <w:szCs w:val="32"/>
        </w:rPr>
      </w:pPr>
      <w:r>
        <w:rPr>
          <w:rFonts w:ascii="仿宋_GB2312" w:eastAsia="仿宋_GB2312" w:hAnsi="仿宋_GB2312" w:cs="仿宋_GB2312" w:hint="eastAsia"/>
          <w:b/>
          <w:sz w:val="32"/>
          <w:szCs w:val="32"/>
        </w:rPr>
        <w:t>政府采购管理专业介绍：</w:t>
      </w:r>
      <w:r w:rsidR="00701496" w:rsidRPr="00701496">
        <w:rPr>
          <w:rFonts w:ascii="仿宋_GB2312" w:eastAsia="仿宋_GB2312" w:hAnsi="仿宋_GB2312" w:cs="仿宋_GB2312" w:hint="eastAsia"/>
          <w:sz w:val="32"/>
          <w:szCs w:val="32"/>
        </w:rPr>
        <w:t>政府采购管理专业是我院重点打造的特色专业，依托省财政厅采购处的支持和指导进行开设，填补了贵州省高校政府采购管理专业的空白。作为贵州省招标采购协会的常务理事单位，建立了良好的校协合作育人机制。致力于培养德智体美劳全面发展、具有爱岗敬业、诚信严谨、善于协作、吃苦耐劳的职业精神，掌握政府采购法律法规、合同资料管理、建设工程管理等方面的基本理论和知识，熟练政府采购方式、政府采购规制的技能，具备编制政府采购文件、拟定合同草案、办理政府采购合同订立事项、处理政府采购质疑投诉与合同争议等专业核心技能，从事政府采购代理业务、政府采购监管、工程招投标代理业务等相关工作的复合型技术技能型人才。</w:t>
      </w:r>
    </w:p>
    <w:p w14:paraId="7814633C" w14:textId="6B850385" w:rsidR="00A40B36" w:rsidRDefault="00000000" w:rsidP="00701496">
      <w:pPr>
        <w:spacing w:line="560" w:lineRule="exact"/>
        <w:ind w:firstLineChars="200" w:firstLine="643"/>
        <w:jc w:val="left"/>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 主要课程：</w:t>
      </w:r>
      <w:r>
        <w:rPr>
          <w:rFonts w:ascii="仿宋_GB2312" w:eastAsia="仿宋_GB2312" w:hAnsi="仿宋_GB2312" w:cs="仿宋_GB2312" w:hint="eastAsia"/>
          <w:sz w:val="32"/>
          <w:szCs w:val="32"/>
        </w:rPr>
        <w:t>政府采购管理概述、经济法实务、财经应用文写作、客户服务与沟通技巧、商务礼仪、政府采购法律法规、政府采购项目管理、政府采购案例分析、工程招投标与合同管理、采购管理实务、采购文件编制、政府采购沙盘模拟实训、经济学沙盘实训、财政管理与政府预算沙盘实训、资产评估实务、活动策划等。</w:t>
      </w:r>
    </w:p>
    <w:p w14:paraId="412FF9A5" w14:textId="77777777" w:rsidR="00A40B36" w:rsidRDefault="00000000">
      <w:pPr>
        <w:spacing w:line="560" w:lineRule="exact"/>
        <w:ind w:firstLineChars="200" w:firstLine="643"/>
        <w:jc w:val="left"/>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工程造价专业介绍：</w:t>
      </w:r>
      <w:r>
        <w:rPr>
          <w:rFonts w:ascii="仿宋_GB2312" w:eastAsia="仿宋_GB2312" w:hAnsi="仿宋_GB2312" w:cs="仿宋_GB2312" w:hint="eastAsia"/>
          <w:sz w:val="32"/>
          <w:szCs w:val="32"/>
        </w:rPr>
        <w:t>依托贵州后发赶超快速发展的大</w:t>
      </w:r>
      <w:r>
        <w:rPr>
          <w:rFonts w:ascii="仿宋_GB2312" w:eastAsia="仿宋_GB2312" w:hAnsi="仿宋_GB2312" w:cs="仿宋_GB2312" w:hint="eastAsia"/>
          <w:sz w:val="32"/>
          <w:szCs w:val="32"/>
        </w:rPr>
        <w:lastRenderedPageBreak/>
        <w:t>趋势，培养面向贵州建设工程咨询、施工、房地产等建设企业，以造价员职业岗位为核心，辐射资料员、材料员等岗位群，培养具有工程造价专业必备的工程技术知识，具备从事建设工程项目的工程造价计量、计价和工程造价控制等工程造价管理一线岗位的技术、管理工作能力，具有良好职业道德、创新精神、可持续发展能力，德、智、体、美、劳全面发展的高素质技能应用型人才。</w:t>
      </w:r>
    </w:p>
    <w:p w14:paraId="68890ABA" w14:textId="77777777" w:rsidR="00A40B36" w:rsidRDefault="00000000">
      <w:pPr>
        <w:spacing w:line="560" w:lineRule="exact"/>
        <w:ind w:firstLineChars="200" w:firstLine="643"/>
        <w:jc w:val="left"/>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主要课程：</w:t>
      </w:r>
      <w:r>
        <w:rPr>
          <w:rFonts w:ascii="仿宋_GB2312" w:eastAsia="仿宋_GB2312" w:hAnsi="仿宋_GB2312" w:cs="仿宋_GB2312" w:hint="eastAsia"/>
          <w:sz w:val="32"/>
          <w:szCs w:val="32"/>
        </w:rPr>
        <w:t>建筑材料、建筑识图与构造、建筑制图与CAD、钢筋平法识图与计算建筑施工技术、建设工程造价控制与管理、建筑工程计量与计价、建筑工程技术资料管理、合同管理与结算实务、工程项目招标与投标、建筑施工组织设计、建设工程项目管理、建筑法规、建筑信息模型（BIM）概论等。</w:t>
      </w:r>
    </w:p>
    <w:p w14:paraId="6C6D6EF7" w14:textId="77777777" w:rsidR="00A40B36" w:rsidRDefault="00000000">
      <w:pPr>
        <w:spacing w:line="560" w:lineRule="exact"/>
        <w:ind w:firstLineChars="200" w:firstLine="643"/>
        <w:jc w:val="left"/>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金融服务与管理专业介绍</w:t>
      </w:r>
      <w:r>
        <w:rPr>
          <w:rFonts w:ascii="仿宋_GB2312" w:eastAsia="仿宋_GB2312" w:hAnsi="仿宋_GB2312" w:cs="仿宋_GB2312" w:hint="eastAsia"/>
          <w:sz w:val="32"/>
          <w:szCs w:val="32"/>
        </w:rPr>
        <w:t>：以“诚信审慎、兴财有道”为专业文化建设核心，契合国家经济发展和地方金融发展态势，与地方金融机构深度合作，适应普惠金融、绿色金融发展对基层一线岗位人才的需求，以国家教育部高职金融服务与管理专业培养要求为标准，旨在培养拥有良好的人文素养和职业素养，德、智、体、美、劳全面发展，熟悉国家金融政策及其相关法律法规、行业规范，掌握现代经济学与金融学基本理论，具有较强的市场经济意识和社会适应能力，能够在各类商业银行、保险公司、证券公司、小额贷款公司、其他新型金融机构及其他经济管理部门从事金融及相关经济工作的高素质技术技能型金融</w:t>
      </w:r>
      <w:r>
        <w:rPr>
          <w:rFonts w:ascii="仿宋_GB2312" w:eastAsia="仿宋_GB2312" w:hAnsi="仿宋_GB2312" w:cs="仿宋_GB2312" w:hint="eastAsia"/>
          <w:sz w:val="32"/>
          <w:szCs w:val="32"/>
        </w:rPr>
        <w:lastRenderedPageBreak/>
        <w:t>服务人才。</w:t>
      </w:r>
      <w:r>
        <w:rPr>
          <w:rFonts w:ascii="仿宋_GB2312" w:eastAsia="仿宋_GB2312" w:hAnsi="仿宋_GB2312" w:cs="仿宋_GB2312" w:hint="eastAsia"/>
          <w:sz w:val="32"/>
          <w:szCs w:val="32"/>
        </w:rPr>
        <w:br/>
        <w:t xml:space="preserve"> </w:t>
      </w:r>
      <w:r>
        <w:rPr>
          <w:rFonts w:ascii="仿宋_GB2312" w:eastAsia="仿宋_GB2312" w:hAnsi="仿宋_GB2312" w:cs="仿宋_GB2312" w:hint="eastAsia"/>
          <w:b/>
          <w:sz w:val="32"/>
          <w:szCs w:val="32"/>
        </w:rPr>
        <w:t xml:space="preserve">    主要课程：</w:t>
      </w:r>
      <w:r>
        <w:rPr>
          <w:rFonts w:ascii="仿宋_GB2312" w:eastAsia="仿宋_GB2312" w:hAnsi="仿宋_GB2312" w:cs="仿宋_GB2312" w:hint="eastAsia"/>
          <w:sz w:val="32"/>
          <w:szCs w:val="32"/>
        </w:rPr>
        <w:t>经济学基础、管理学基础、会计学原理、大数据与统计、金融产业前沿讲座、金融职业基本技能、金融学基础、保险理论与实务、金融服务礼仪、金融科技应用基础、金融法律法规、商业银行综合柜面业务、金融服务营销、个人理财规划、证券投资理论与实务、大数据财务分析、金融风险管理、逻辑思维训练等。</w:t>
      </w:r>
    </w:p>
    <w:p w14:paraId="3D46DB10" w14:textId="77777777" w:rsidR="00A40B36" w:rsidRDefault="00000000">
      <w:pPr>
        <w:spacing w:line="560" w:lineRule="exact"/>
        <w:ind w:firstLineChars="200" w:firstLine="643"/>
        <w:jc w:val="left"/>
        <w:rPr>
          <w:rFonts w:ascii="仿宋_GB2312" w:eastAsia="仿宋_GB2312" w:hAnsi="仿宋_GB2312" w:cs="仿宋_GB2312" w:hint="eastAsia"/>
          <w:sz w:val="32"/>
          <w:szCs w:val="32"/>
        </w:rPr>
      </w:pPr>
      <w:r>
        <w:rPr>
          <w:rFonts w:ascii="仿宋_GB2312" w:eastAsia="仿宋_GB2312" w:hAnsi="仿宋_GB2312" w:cs="仿宋_GB2312" w:hint="eastAsia"/>
          <w:b/>
          <w:bCs/>
          <w:sz w:val="32"/>
          <w:szCs w:val="32"/>
        </w:rPr>
        <w:t>资产评估与管理专业介绍：</w:t>
      </w:r>
      <w:r>
        <w:rPr>
          <w:rFonts w:ascii="仿宋_GB2312" w:eastAsia="仿宋_GB2312" w:hAnsi="仿宋_GB2312" w:cs="仿宋_GB2312" w:hint="eastAsia"/>
          <w:sz w:val="32"/>
          <w:szCs w:val="32"/>
        </w:rPr>
        <w:t>资产评估与管理专业为我院第三批开设的特色专业，是贵州省唯一开设该专业的高职院校。专业以“数智赋能，客观合理”为建设核心，围绕国家和地方确定的重点发展领域，依据行业和产业发展前沿趋势，针对地方经济与社会发展需求，为我省资产评估企业培养具备将资产评估基本理论和操作技能运用到资产评估业务处理和评估工作过程的专业技术能力，具有认知能力、合作能力、创新能力、职业能力等支撑终身发展、适应时代要求的关键素养，能够从事资产评估、资产管理、数据采集与统计分析、财务管理、金融等工作的复合型技术技能人才。</w:t>
      </w:r>
    </w:p>
    <w:p w14:paraId="624ECCDA" w14:textId="77777777" w:rsidR="00A40B36" w:rsidRDefault="00000000">
      <w:pPr>
        <w:spacing w:line="560" w:lineRule="exact"/>
        <w:ind w:firstLineChars="200" w:firstLine="643"/>
        <w:jc w:val="left"/>
        <w:rPr>
          <w:rFonts w:ascii="仿宋_GB2312" w:eastAsia="仿宋_GB2312" w:hAnsi="仿宋_GB2312" w:cs="仿宋_GB2312" w:hint="eastAsia"/>
          <w:sz w:val="32"/>
          <w:szCs w:val="32"/>
        </w:rPr>
      </w:pPr>
      <w:r>
        <w:rPr>
          <w:rFonts w:ascii="仿宋_GB2312" w:eastAsia="仿宋_GB2312" w:hAnsi="仿宋_GB2312" w:cs="仿宋_GB2312" w:hint="eastAsia"/>
          <w:b/>
          <w:bCs/>
          <w:sz w:val="32"/>
          <w:szCs w:val="32"/>
        </w:rPr>
        <w:t>核心课程：</w:t>
      </w:r>
      <w:r>
        <w:rPr>
          <w:rFonts w:ascii="仿宋_GB2312" w:eastAsia="仿宋_GB2312" w:hAnsi="仿宋_GB2312" w:cs="仿宋_GB2312" w:hint="eastAsia"/>
          <w:sz w:val="32"/>
          <w:szCs w:val="32"/>
        </w:rPr>
        <w:t>资产评估基础、资产评估实务、国有资产管理、智能估值数据采集与应用、不良资产处置与金融风险控制、预算管理、绩效评价、经济学基础、会计学原理、管理学基础、互联网金融、财经应用文写作、商务沟通与礼仪等。</w:t>
      </w:r>
    </w:p>
    <w:p w14:paraId="2BA737FF" w14:textId="56ED5FE7" w:rsidR="00A40B36" w:rsidRDefault="00A40B36">
      <w:pPr>
        <w:spacing w:line="560" w:lineRule="exact"/>
        <w:ind w:firstLineChars="200" w:firstLine="640"/>
        <w:jc w:val="left"/>
        <w:rPr>
          <w:rFonts w:ascii="仿宋_GB2312" w:eastAsia="仿宋_GB2312" w:hAnsi="仿宋_GB2312" w:cs="仿宋_GB2312" w:hint="eastAsia"/>
          <w:sz w:val="32"/>
          <w:szCs w:val="32"/>
        </w:rPr>
      </w:pPr>
    </w:p>
    <w:sectPr w:rsidR="00A40B3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68DFC" w14:textId="77777777" w:rsidR="00825D73" w:rsidRDefault="00825D73">
      <w:pPr>
        <w:rPr>
          <w:rFonts w:hint="eastAsia"/>
        </w:rPr>
      </w:pPr>
      <w:r>
        <w:separator/>
      </w:r>
    </w:p>
  </w:endnote>
  <w:endnote w:type="continuationSeparator" w:id="0">
    <w:p w14:paraId="216511B9" w14:textId="77777777" w:rsidR="00825D73" w:rsidRDefault="00825D7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0AF35388-CE3D-4B16-ABF6-5E1748051B6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embedRegular r:id="rId2" w:subsetted="1" w:fontKey="{381A9337-6014-4EF2-852B-F3FB42DFECE2}"/>
    <w:embedBold r:id="rId3" w:subsetted="1" w:fontKey="{43679E09-B1EA-4C62-B39F-69517277652C}"/>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995D" w14:textId="77777777" w:rsidR="00A40B36" w:rsidRDefault="00000000">
    <w:pPr>
      <w:pStyle w:val="a3"/>
      <w:rPr>
        <w:rFonts w:hint="eastAsia"/>
      </w:rPr>
    </w:pPr>
    <w:r>
      <w:rPr>
        <w:noProof/>
      </w:rPr>
      <mc:AlternateContent>
        <mc:Choice Requires="wps">
          <w:drawing>
            <wp:anchor distT="0" distB="0" distL="114300" distR="114300" simplePos="0" relativeHeight="251659264" behindDoc="0" locked="0" layoutInCell="1" allowOverlap="1" wp14:anchorId="02312601" wp14:editId="328B9C3A">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F528D4" w14:textId="77777777" w:rsidR="00A40B36" w:rsidRDefault="00000000">
                          <w:pPr>
                            <w:pStyle w:val="a3"/>
                            <w:rPr>
                              <w:rFonts w:ascii="宋体" w:eastAsia="宋体" w:hAnsi="宋体" w:cs="宋体" w:hint="eastAsia"/>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312601"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0F528D4" w14:textId="77777777" w:rsidR="00A40B36" w:rsidRDefault="00000000">
                    <w:pPr>
                      <w:pStyle w:val="a3"/>
                      <w:rPr>
                        <w:rFonts w:ascii="宋体" w:eastAsia="宋体" w:hAnsi="宋体" w:cs="宋体" w:hint="eastAsia"/>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AE83B" w14:textId="77777777" w:rsidR="00825D73" w:rsidRDefault="00825D73">
      <w:pPr>
        <w:rPr>
          <w:rFonts w:hint="eastAsia"/>
        </w:rPr>
      </w:pPr>
      <w:r>
        <w:separator/>
      </w:r>
    </w:p>
  </w:footnote>
  <w:footnote w:type="continuationSeparator" w:id="0">
    <w:p w14:paraId="5B4A15F2" w14:textId="77777777" w:rsidR="00825D73" w:rsidRDefault="00825D7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AxNGY0MmU0NDIzN2U0ZjFlNWY2YTQ2MmZmMWY2MTUifQ=="/>
  </w:docVars>
  <w:rsids>
    <w:rsidRoot w:val="00B8738D"/>
    <w:rsid w:val="00054B13"/>
    <w:rsid w:val="00324740"/>
    <w:rsid w:val="006826CE"/>
    <w:rsid w:val="00701496"/>
    <w:rsid w:val="00825D73"/>
    <w:rsid w:val="008A58C6"/>
    <w:rsid w:val="008D769F"/>
    <w:rsid w:val="008E1FD3"/>
    <w:rsid w:val="008E7AAF"/>
    <w:rsid w:val="009C7D45"/>
    <w:rsid w:val="00A34CD2"/>
    <w:rsid w:val="00A40B36"/>
    <w:rsid w:val="00B8738D"/>
    <w:rsid w:val="00C467CC"/>
    <w:rsid w:val="00DE3522"/>
    <w:rsid w:val="16DC4EEF"/>
    <w:rsid w:val="1DF7667C"/>
    <w:rsid w:val="20610168"/>
    <w:rsid w:val="20DD111C"/>
    <w:rsid w:val="22D700E3"/>
    <w:rsid w:val="2477762F"/>
    <w:rsid w:val="28173165"/>
    <w:rsid w:val="3BFF5F92"/>
    <w:rsid w:val="3E314012"/>
    <w:rsid w:val="4EE8121C"/>
    <w:rsid w:val="4FD315E3"/>
    <w:rsid w:val="5A640949"/>
    <w:rsid w:val="69D313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4D43D"/>
  <w15:docId w15:val="{7346B912-988C-4C61-A631-70A35827E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kern w:val="2"/>
      <w:sz w:val="18"/>
      <w:szCs w:val="18"/>
    </w:rPr>
  </w:style>
  <w:style w:type="character" w:customStyle="1" w:styleId="a4">
    <w:name w:val="页脚 字符"/>
    <w:basedOn w:val="a0"/>
    <w:link w:val="a3"/>
    <w:uiPriority w:val="99"/>
    <w:qFormat/>
    <w:rPr>
      <w:kern w:val="2"/>
      <w:sz w:val="18"/>
      <w:szCs w:val="18"/>
    </w:rPr>
  </w:style>
  <w:style w:type="paragraph" w:styleId="a7">
    <w:name w:val="Normal (Web)"/>
    <w:basedOn w:val="a"/>
    <w:uiPriority w:val="99"/>
    <w:semiHidden/>
    <w:unhideWhenUsed/>
    <w:rsid w:val="0070149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7470914">
      <w:bodyDiv w:val="1"/>
      <w:marLeft w:val="0"/>
      <w:marRight w:val="0"/>
      <w:marTop w:val="0"/>
      <w:marBottom w:val="0"/>
      <w:divBdr>
        <w:top w:val="none" w:sz="0" w:space="0" w:color="auto"/>
        <w:left w:val="none" w:sz="0" w:space="0" w:color="auto"/>
        <w:bottom w:val="none" w:sz="0" w:space="0" w:color="auto"/>
        <w:right w:val="none" w:sz="0" w:space="0" w:color="auto"/>
      </w:divBdr>
    </w:div>
    <w:div w:id="2132048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1070</Words>
  <Characters>1082</Characters>
  <Application>Microsoft Office Word</Application>
  <DocSecurity>0</DocSecurity>
  <Lines>49</Lines>
  <Paragraphs>11</Paragraphs>
  <ScaleCrop>false</ScaleCrop>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123</dc:creator>
  <cp:lastModifiedBy>851762019@qq.com</cp:lastModifiedBy>
  <cp:revision>2</cp:revision>
  <dcterms:created xsi:type="dcterms:W3CDTF">2025-05-14T09:06:00Z</dcterms:created>
  <dcterms:modified xsi:type="dcterms:W3CDTF">2025-05-14T09:06:00Z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F150249EE60E49B897D5A3F06997A38C_13</vt:lpwstr>
  </property>
</Properties>
</file>